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宋体" w:hAnsi="宋体" w:eastAsia="宋体" w:cs="宋体"/>
          <w:i w:val="0"/>
          <w:iCs w:val="0"/>
          <w:caps w:val="0"/>
          <w:color w:val="222222"/>
          <w:spacing w:val="8"/>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宋体" w:hAnsi="宋体" w:eastAsia="宋体" w:cs="宋体"/>
          <w:i w:val="0"/>
          <w:iCs w:val="0"/>
          <w:caps w:val="0"/>
          <w:color w:val="222222"/>
          <w:spacing w:val="8"/>
          <w:sz w:val="44"/>
          <w:szCs w:val="44"/>
          <w:shd w:val="clear" w:fill="FFFFFF"/>
        </w:rPr>
      </w:pPr>
      <w:r>
        <w:rPr>
          <w:rFonts w:hint="eastAsia" w:ascii="宋体" w:hAnsi="宋体" w:eastAsia="宋体" w:cs="宋体"/>
          <w:i w:val="0"/>
          <w:iCs w:val="0"/>
          <w:caps w:val="0"/>
          <w:color w:val="222222"/>
          <w:spacing w:val="8"/>
          <w:sz w:val="44"/>
          <w:szCs w:val="44"/>
          <w:shd w:val="clear" w:fill="FFFFFF"/>
          <w:lang w:eastAsia="zh-CN"/>
        </w:rPr>
        <w:t>伊春市</w:t>
      </w:r>
      <w:r>
        <w:rPr>
          <w:rFonts w:hint="eastAsia" w:ascii="宋体" w:hAnsi="宋体" w:eastAsia="宋体" w:cs="宋体"/>
          <w:i w:val="0"/>
          <w:iCs w:val="0"/>
          <w:caps w:val="0"/>
          <w:color w:val="222222"/>
          <w:spacing w:val="8"/>
          <w:sz w:val="44"/>
          <w:szCs w:val="44"/>
          <w:shd w:val="clear" w:fill="FFFFFF"/>
        </w:rPr>
        <w:t>市场监督管理局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20" w:lineRule="exact"/>
        <w:ind w:left="0" w:right="0" w:firstLine="0"/>
        <w:jc w:val="center"/>
        <w:textAlignment w:val="auto"/>
        <w:rPr>
          <w:rFonts w:hint="eastAsia" w:ascii="宋体" w:hAnsi="宋体" w:eastAsia="宋体" w:cs="宋体"/>
          <w:i w:val="0"/>
          <w:iCs w:val="0"/>
          <w:caps w:val="0"/>
          <w:color w:val="222222"/>
          <w:spacing w:val="8"/>
          <w:sz w:val="44"/>
          <w:szCs w:val="44"/>
          <w:lang w:eastAsia="zh-CN"/>
        </w:rPr>
      </w:pPr>
      <w:r>
        <w:rPr>
          <w:rFonts w:hint="eastAsia" w:ascii="宋体" w:hAnsi="宋体" w:eastAsia="宋体" w:cs="宋体"/>
          <w:i w:val="0"/>
          <w:iCs w:val="0"/>
          <w:caps w:val="0"/>
          <w:color w:val="222222"/>
          <w:spacing w:val="8"/>
          <w:sz w:val="44"/>
          <w:szCs w:val="44"/>
          <w:shd w:val="clear" w:fill="FFFFFF"/>
        </w:rPr>
        <w:t>202</w:t>
      </w:r>
      <w:r>
        <w:rPr>
          <w:rFonts w:hint="eastAsia" w:cs="宋体"/>
          <w:i w:val="0"/>
          <w:iCs w:val="0"/>
          <w:caps w:val="0"/>
          <w:color w:val="222222"/>
          <w:spacing w:val="8"/>
          <w:sz w:val="44"/>
          <w:szCs w:val="44"/>
          <w:shd w:val="clear" w:fill="FFFFFF"/>
          <w:lang w:val="en-US" w:eastAsia="zh-CN"/>
        </w:rPr>
        <w:t>4</w:t>
      </w:r>
      <w:r>
        <w:rPr>
          <w:rFonts w:hint="eastAsia" w:ascii="宋体" w:hAnsi="宋体" w:eastAsia="宋体" w:cs="宋体"/>
          <w:i w:val="0"/>
          <w:iCs w:val="0"/>
          <w:caps w:val="0"/>
          <w:color w:val="222222"/>
          <w:spacing w:val="8"/>
          <w:sz w:val="44"/>
          <w:szCs w:val="44"/>
          <w:shd w:val="clear" w:fill="FFFFFF"/>
        </w:rPr>
        <w:t>年</w:t>
      </w:r>
      <w:r>
        <w:rPr>
          <w:rFonts w:hint="eastAsia" w:cs="宋体"/>
          <w:i w:val="0"/>
          <w:iCs w:val="0"/>
          <w:caps w:val="0"/>
          <w:color w:val="222222"/>
          <w:spacing w:val="8"/>
          <w:sz w:val="44"/>
          <w:szCs w:val="44"/>
          <w:shd w:val="clear" w:fill="FFFFFF"/>
          <w:lang w:eastAsia="zh-CN"/>
        </w:rPr>
        <w:t>第三季度</w:t>
      </w:r>
      <w:r>
        <w:rPr>
          <w:rFonts w:hint="eastAsia" w:ascii="宋体" w:hAnsi="宋体" w:eastAsia="宋体" w:cs="宋体"/>
          <w:i w:val="0"/>
          <w:iCs w:val="0"/>
          <w:caps w:val="0"/>
          <w:color w:val="222222"/>
          <w:spacing w:val="8"/>
          <w:sz w:val="44"/>
          <w:szCs w:val="44"/>
          <w:shd w:val="clear" w:fill="FFFFFF"/>
        </w:rPr>
        <w:t>投诉举报</w:t>
      </w:r>
      <w:r>
        <w:rPr>
          <w:rFonts w:hint="eastAsia" w:cs="宋体"/>
          <w:i w:val="0"/>
          <w:iCs w:val="0"/>
          <w:caps w:val="0"/>
          <w:color w:val="222222"/>
          <w:spacing w:val="8"/>
          <w:sz w:val="44"/>
          <w:szCs w:val="44"/>
          <w:shd w:val="clear" w:fill="FFFFFF"/>
          <w:lang w:eastAsia="zh-CN"/>
        </w:rPr>
        <w:t>咨询</w:t>
      </w:r>
      <w:r>
        <w:rPr>
          <w:rFonts w:hint="eastAsia" w:ascii="宋体" w:hAnsi="宋体" w:eastAsia="宋体" w:cs="宋体"/>
          <w:i w:val="0"/>
          <w:iCs w:val="0"/>
          <w:caps w:val="0"/>
          <w:color w:val="222222"/>
          <w:spacing w:val="8"/>
          <w:sz w:val="44"/>
          <w:szCs w:val="44"/>
          <w:shd w:val="clear" w:fill="FFFFFF"/>
        </w:rPr>
        <w:t>分析</w:t>
      </w:r>
      <w:r>
        <w:rPr>
          <w:rFonts w:hint="eastAsia" w:cs="宋体"/>
          <w:i w:val="0"/>
          <w:iCs w:val="0"/>
          <w:caps w:val="0"/>
          <w:color w:val="222222"/>
          <w:spacing w:val="8"/>
          <w:sz w:val="44"/>
          <w:szCs w:val="44"/>
          <w:shd w:val="clear" w:fill="FFFFFF"/>
          <w:lang w:eastAsia="zh-CN"/>
        </w:rPr>
        <w:t>报告</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微软雅黑" w:hAnsi="微软雅黑" w:eastAsia="微软雅黑" w:cs="微软雅黑"/>
          <w:i w:val="0"/>
          <w:iCs w:val="0"/>
          <w:caps w:val="0"/>
          <w:color w:val="000000"/>
          <w:spacing w:val="15"/>
          <w:sz w:val="27"/>
          <w:szCs w:val="27"/>
          <w:shd w:val="clear" w:fill="FFFFFF"/>
          <w:lang w:eastAsia="zh-CN"/>
        </w:rPr>
      </w:pP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637" w:firstLineChars="182"/>
        <w:textAlignment w:val="auto"/>
        <w:rPr>
          <w:rFonts w:hint="eastAsia"/>
          <w:lang w:val="en-US" w:eastAsia="zh-CN"/>
        </w:rPr>
      </w:pPr>
      <w:r>
        <w:rPr>
          <w:rFonts w:hint="eastAsia" w:ascii="黑体" w:hAnsi="黑体" w:eastAsia="黑体" w:cs="黑体"/>
          <w:i w:val="0"/>
          <w:iCs w:val="0"/>
          <w:caps w:val="0"/>
          <w:color w:val="000000"/>
          <w:spacing w:val="15"/>
          <w:sz w:val="32"/>
          <w:szCs w:val="32"/>
          <w:shd w:val="clear" w:fill="FFFFFF"/>
          <w:lang w:eastAsia="zh-CN"/>
        </w:rPr>
        <w:t>投诉举报咨询情况</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182"/>
        <w:textAlignment w:val="auto"/>
        <w:rPr>
          <w:rFonts w:hint="eastAsia" w:ascii="楷体" w:hAnsi="楷体" w:eastAsia="楷体" w:cs="楷体"/>
          <w:b/>
          <w:bCs/>
          <w:lang w:val="en-US" w:eastAsia="zh-CN"/>
        </w:rPr>
      </w:pPr>
      <w:r>
        <w:rPr>
          <w:rFonts w:hint="eastAsia" w:ascii="楷体" w:hAnsi="楷体" w:eastAsia="楷体" w:cs="楷体"/>
          <w:b/>
          <w:bCs/>
          <w:i w:val="0"/>
          <w:iCs w:val="0"/>
          <w:caps w:val="0"/>
          <w:color w:val="000000"/>
          <w:spacing w:val="15"/>
          <w:sz w:val="32"/>
          <w:szCs w:val="32"/>
          <w:shd w:val="clear" w:fill="FFFFFF"/>
          <w:lang w:eastAsia="zh-CN"/>
        </w:rPr>
        <w:t>（一）总体情况</w:t>
      </w:r>
    </w:p>
    <w:p>
      <w:pPr>
        <w:keepNext w:val="0"/>
        <w:keepLines w:val="0"/>
        <w:pageBreakBefore w:val="0"/>
        <w:widowControl w:val="0"/>
        <w:kinsoku/>
        <w:wordWrap/>
        <w:overflowPunct/>
        <w:topLinePunct w:val="0"/>
        <w:autoSpaceDE/>
        <w:autoSpaceDN/>
        <w:bidi w:val="0"/>
        <w:adjustRightInd/>
        <w:snapToGrid/>
        <w:spacing w:line="520" w:lineRule="exact"/>
        <w:ind w:firstLine="700" w:firstLineChars="200"/>
        <w:textAlignment w:val="auto"/>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r>
        <w:rPr>
          <w:rFonts w:hint="eastAsia" w:ascii="仿宋" w:hAnsi="仿宋" w:eastAsia="仿宋" w:cs="仿宋"/>
          <w:i w:val="0"/>
          <w:iCs w:val="0"/>
          <w:caps w:val="0"/>
          <w:color w:val="auto"/>
          <w:spacing w:val="15"/>
          <w:sz w:val="32"/>
          <w:szCs w:val="32"/>
          <w:shd w:val="clear" w:fill="FFFFFF"/>
          <w:lang w:val="en-US" w:eastAsia="zh-CN"/>
        </w:rPr>
        <w:t>2024年第三季度，</w:t>
      </w:r>
      <w:r>
        <w:rPr>
          <w:rFonts w:hint="eastAsia" w:ascii="仿宋" w:hAnsi="仿宋" w:eastAsia="仿宋" w:cs="仿宋"/>
          <w:i w:val="0"/>
          <w:iCs w:val="0"/>
          <w:caps w:val="0"/>
          <w:color w:val="auto"/>
          <w:spacing w:val="15"/>
          <w:sz w:val="32"/>
          <w:szCs w:val="32"/>
          <w:shd w:val="clear" w:fill="FFFFFF"/>
          <w:lang w:eastAsia="zh-CN"/>
        </w:rPr>
        <w:t>伊春市</w:t>
      </w:r>
      <w:r>
        <w:rPr>
          <w:rFonts w:hint="eastAsia" w:ascii="仿宋" w:hAnsi="仿宋" w:eastAsia="仿宋" w:cs="仿宋"/>
          <w:i w:val="0"/>
          <w:iCs w:val="0"/>
          <w:caps w:val="0"/>
          <w:color w:val="auto"/>
          <w:spacing w:val="15"/>
          <w:sz w:val="32"/>
          <w:szCs w:val="32"/>
          <w:shd w:val="clear" w:fill="FFFFFF"/>
        </w:rPr>
        <w:t>市场监督管理局</w:t>
      </w:r>
      <w:r>
        <w:rPr>
          <w:rFonts w:hint="eastAsia" w:ascii="仿宋" w:hAnsi="仿宋" w:eastAsia="仿宋" w:cs="仿宋"/>
          <w:i w:val="0"/>
          <w:iCs w:val="0"/>
          <w:caps w:val="0"/>
          <w:color w:val="auto"/>
          <w:spacing w:val="15"/>
          <w:sz w:val="32"/>
          <w:szCs w:val="32"/>
          <w:shd w:val="clear" w:fill="FFFFFF"/>
          <w:lang w:eastAsia="zh-CN"/>
        </w:rPr>
        <w:t>依托全国</w:t>
      </w:r>
      <w:r>
        <w:rPr>
          <w:rFonts w:hint="eastAsia" w:ascii="仿宋" w:hAnsi="仿宋" w:eastAsia="仿宋" w:cs="仿宋"/>
          <w:i w:val="0"/>
          <w:iCs w:val="0"/>
          <w:caps w:val="0"/>
          <w:color w:val="auto"/>
          <w:spacing w:val="15"/>
          <w:sz w:val="32"/>
          <w:szCs w:val="32"/>
          <w:shd w:val="clear" w:fill="FFFFFF"/>
          <w:lang w:val="en-US" w:eastAsia="zh-CN"/>
        </w:rPr>
        <w:t>12315平台及12315话务热线接收</w:t>
      </w:r>
      <w:r>
        <w:rPr>
          <w:rStyle w:val="12"/>
          <w:rFonts w:hint="eastAsia" w:ascii="仿宋" w:hAnsi="仿宋" w:eastAsia="仿宋" w:cs="仿宋"/>
          <w:b w:val="0"/>
          <w:bCs/>
          <w:i w:val="0"/>
          <w:iCs w:val="0"/>
          <w:caps w:val="0"/>
          <w:color w:val="000000" w:themeColor="text1"/>
          <w:spacing w:val="0"/>
          <w:sz w:val="32"/>
          <w:szCs w:val="32"/>
          <w:shd w:val="clear" w:fill="FEFFFF"/>
          <w14:textFill>
            <w14:solidFill>
              <w14:schemeClr w14:val="tx1"/>
            </w14:solidFill>
          </w14:textFill>
        </w:rPr>
        <w:t>投诉举报咨询</w:t>
      </w:r>
      <w:r>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t>信息</w:t>
      </w: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2432</w:t>
      </w:r>
      <w:r>
        <w:rPr>
          <w:rStyle w:val="12"/>
          <w:rFonts w:hint="eastAsia" w:ascii="仿宋" w:hAnsi="仿宋" w:eastAsia="仿宋" w:cs="仿宋"/>
          <w:b w:val="0"/>
          <w:bCs/>
          <w:i w:val="0"/>
          <w:iCs w:val="0"/>
          <w:caps w:val="0"/>
          <w:color w:val="000000" w:themeColor="text1"/>
          <w:spacing w:val="0"/>
          <w:sz w:val="32"/>
          <w:szCs w:val="32"/>
          <w:shd w:val="clear" w:fill="FEFFFF"/>
          <w14:textFill>
            <w14:solidFill>
              <w14:schemeClr w14:val="tx1"/>
            </w14:solidFill>
          </w14:textFill>
        </w:rPr>
        <w:t>件</w:t>
      </w: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w:t>
      </w:r>
      <w:r>
        <w:rPr>
          <w:rStyle w:val="12"/>
          <w:rFonts w:hint="eastAsia" w:ascii="仿宋" w:hAnsi="仿宋" w:eastAsia="仿宋" w:cs="仿宋"/>
          <w:b w:val="0"/>
          <w:bCs/>
          <w:i w:val="0"/>
          <w:iCs w:val="0"/>
          <w:caps w:val="0"/>
          <w:color w:val="000000" w:themeColor="text1"/>
          <w:spacing w:val="0"/>
          <w:sz w:val="32"/>
          <w:szCs w:val="32"/>
          <w:shd w:val="clear" w:fill="FEFFFF"/>
          <w14:textFill>
            <w14:solidFill>
              <w14:schemeClr w14:val="tx1"/>
            </w14:solidFill>
          </w14:textFill>
        </w:rPr>
        <w:t>其中投诉</w:t>
      </w: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555</w:t>
      </w:r>
      <w:r>
        <w:rPr>
          <w:rStyle w:val="12"/>
          <w:rFonts w:hint="eastAsia" w:ascii="仿宋" w:hAnsi="仿宋" w:eastAsia="仿宋" w:cs="仿宋"/>
          <w:b w:val="0"/>
          <w:bCs/>
          <w:i w:val="0"/>
          <w:iCs w:val="0"/>
          <w:caps w:val="0"/>
          <w:color w:val="000000" w:themeColor="text1"/>
          <w:spacing w:val="0"/>
          <w:sz w:val="32"/>
          <w:szCs w:val="32"/>
          <w:shd w:val="clear" w:fill="FEFFFF"/>
          <w14:textFill>
            <w14:solidFill>
              <w14:schemeClr w14:val="tx1"/>
            </w14:solidFill>
          </w14:textFill>
        </w:rPr>
        <w:t>件，</w:t>
      </w:r>
      <w:r>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t>同比增长</w:t>
      </w: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25%；</w:t>
      </w:r>
      <w:r>
        <w:rPr>
          <w:rStyle w:val="12"/>
          <w:rFonts w:hint="eastAsia" w:ascii="仿宋" w:hAnsi="仿宋" w:eastAsia="仿宋" w:cs="仿宋"/>
          <w:b w:val="0"/>
          <w:bCs/>
          <w:i w:val="0"/>
          <w:iCs w:val="0"/>
          <w:caps w:val="0"/>
          <w:color w:val="auto"/>
          <w:spacing w:val="0"/>
          <w:sz w:val="32"/>
          <w:szCs w:val="32"/>
          <w:shd w:val="clear" w:fill="FEFFFF"/>
        </w:rPr>
        <w:t>举报</w:t>
      </w:r>
      <w:r>
        <w:rPr>
          <w:rStyle w:val="12"/>
          <w:rFonts w:hint="eastAsia" w:ascii="仿宋" w:hAnsi="仿宋" w:eastAsia="仿宋" w:cs="仿宋"/>
          <w:b w:val="0"/>
          <w:bCs/>
          <w:i w:val="0"/>
          <w:iCs w:val="0"/>
          <w:caps w:val="0"/>
          <w:color w:val="auto"/>
          <w:spacing w:val="0"/>
          <w:sz w:val="32"/>
          <w:szCs w:val="32"/>
          <w:shd w:val="clear" w:fill="FEFFFF"/>
          <w:lang w:val="en-US" w:eastAsia="zh-CN"/>
        </w:rPr>
        <w:t>210</w:t>
      </w:r>
      <w:r>
        <w:rPr>
          <w:rStyle w:val="12"/>
          <w:rFonts w:hint="eastAsia" w:ascii="仿宋" w:hAnsi="仿宋" w:eastAsia="仿宋" w:cs="仿宋"/>
          <w:b w:val="0"/>
          <w:bCs/>
          <w:i w:val="0"/>
          <w:iCs w:val="0"/>
          <w:caps w:val="0"/>
          <w:color w:val="auto"/>
          <w:spacing w:val="0"/>
          <w:sz w:val="32"/>
          <w:szCs w:val="32"/>
          <w:shd w:val="clear" w:fill="FEFFFF"/>
        </w:rPr>
        <w:t>件，</w:t>
      </w:r>
      <w:r>
        <w:rPr>
          <w:rStyle w:val="12"/>
          <w:rFonts w:hint="eastAsia" w:ascii="仿宋" w:hAnsi="仿宋" w:eastAsia="仿宋" w:cs="仿宋"/>
          <w:b w:val="0"/>
          <w:bCs/>
          <w:i w:val="0"/>
          <w:iCs w:val="0"/>
          <w:caps w:val="0"/>
          <w:color w:val="auto"/>
          <w:spacing w:val="0"/>
          <w:sz w:val="32"/>
          <w:szCs w:val="32"/>
          <w:shd w:val="clear" w:fill="FEFFFF"/>
          <w:lang w:eastAsia="zh-CN"/>
        </w:rPr>
        <w:t>同比增长</w:t>
      </w:r>
      <w:r>
        <w:rPr>
          <w:rStyle w:val="12"/>
          <w:rFonts w:hint="eastAsia" w:ascii="仿宋" w:hAnsi="仿宋" w:eastAsia="仿宋" w:cs="仿宋"/>
          <w:b w:val="0"/>
          <w:bCs/>
          <w:i w:val="0"/>
          <w:iCs w:val="0"/>
          <w:caps w:val="0"/>
          <w:color w:val="auto"/>
          <w:spacing w:val="0"/>
          <w:sz w:val="32"/>
          <w:szCs w:val="32"/>
          <w:shd w:val="clear" w:fill="FEFFFF"/>
          <w:lang w:val="en-US" w:eastAsia="zh-CN"/>
        </w:rPr>
        <w:t>25%；</w:t>
      </w:r>
      <w:r>
        <w:rPr>
          <w:rStyle w:val="12"/>
          <w:rFonts w:hint="eastAsia" w:ascii="仿宋" w:hAnsi="仿宋" w:eastAsia="仿宋" w:cs="仿宋"/>
          <w:b w:val="0"/>
          <w:bCs/>
          <w:i w:val="0"/>
          <w:iCs w:val="0"/>
          <w:caps w:val="0"/>
          <w:color w:val="auto"/>
          <w:spacing w:val="0"/>
          <w:sz w:val="32"/>
          <w:szCs w:val="32"/>
          <w:shd w:val="clear" w:fill="FEFFFF"/>
        </w:rPr>
        <w:t>咨询</w:t>
      </w:r>
      <w:r>
        <w:rPr>
          <w:rStyle w:val="12"/>
          <w:rFonts w:hint="eastAsia" w:ascii="仿宋" w:hAnsi="仿宋" w:eastAsia="仿宋" w:cs="仿宋"/>
          <w:b w:val="0"/>
          <w:bCs/>
          <w:i w:val="0"/>
          <w:iCs w:val="0"/>
          <w:caps w:val="0"/>
          <w:color w:val="auto"/>
          <w:spacing w:val="0"/>
          <w:sz w:val="32"/>
          <w:szCs w:val="32"/>
          <w:shd w:val="clear" w:fill="FEFFFF"/>
          <w:lang w:val="en-US" w:eastAsia="zh-CN"/>
        </w:rPr>
        <w:t>1667</w:t>
      </w:r>
      <w:r>
        <w:rPr>
          <w:rStyle w:val="12"/>
          <w:rFonts w:hint="eastAsia" w:ascii="仿宋" w:hAnsi="仿宋" w:eastAsia="仿宋" w:cs="仿宋"/>
          <w:b w:val="0"/>
          <w:bCs/>
          <w:i w:val="0"/>
          <w:iCs w:val="0"/>
          <w:caps w:val="0"/>
          <w:color w:val="auto"/>
          <w:spacing w:val="0"/>
          <w:sz w:val="32"/>
          <w:szCs w:val="32"/>
          <w:shd w:val="clear" w:fill="FEFFFF"/>
        </w:rPr>
        <w:t>件</w:t>
      </w:r>
      <w:r>
        <w:rPr>
          <w:rStyle w:val="12"/>
          <w:rFonts w:hint="eastAsia" w:ascii="仿宋" w:hAnsi="仿宋" w:eastAsia="仿宋" w:cs="仿宋"/>
          <w:b w:val="0"/>
          <w:bCs/>
          <w:i w:val="0"/>
          <w:iCs w:val="0"/>
          <w:caps w:val="0"/>
          <w:color w:val="auto"/>
          <w:spacing w:val="0"/>
          <w:sz w:val="32"/>
          <w:szCs w:val="32"/>
          <w:shd w:val="clear" w:fill="FEFFFF"/>
          <w:lang w:eastAsia="zh-CN"/>
        </w:rPr>
        <w:t>，同比下降</w:t>
      </w:r>
      <w:r>
        <w:rPr>
          <w:rStyle w:val="12"/>
          <w:rFonts w:hint="eastAsia" w:ascii="仿宋" w:hAnsi="仿宋" w:eastAsia="仿宋" w:cs="仿宋"/>
          <w:b w:val="0"/>
          <w:bCs/>
          <w:i w:val="0"/>
          <w:iCs w:val="0"/>
          <w:caps w:val="0"/>
          <w:color w:val="auto"/>
          <w:spacing w:val="0"/>
          <w:sz w:val="32"/>
          <w:szCs w:val="32"/>
          <w:shd w:val="clear" w:fill="FEFFFF"/>
          <w:lang w:val="en-US" w:eastAsia="zh-CN"/>
        </w:rPr>
        <w:t>51.17%；通过有效调解</w:t>
      </w:r>
      <w:r>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t>为消费者挽回经济损失约</w:t>
      </w: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6.46万元。</w:t>
      </w: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r>
        <w:rPr>
          <w:rFonts w:hint="eastAsia" w:ascii="仿宋" w:hAnsi="仿宋" w:eastAsia="仿宋" w:cs="仿宋"/>
          <w:b/>
          <w:bCs/>
          <w:i w:val="0"/>
          <w:iCs w:val="0"/>
          <w:caps w:val="0"/>
          <w:color w:val="222222"/>
          <w:spacing w:val="15"/>
          <w:sz w:val="32"/>
          <w:szCs w:val="32"/>
          <w:shd w:val="clear" w:fill="FFFFFF"/>
          <w:lang w:eastAsia="zh-CN"/>
        </w:rPr>
        <w:drawing>
          <wp:anchor distT="0" distB="0" distL="114300" distR="114300" simplePos="0" relativeHeight="251664384" behindDoc="0" locked="0" layoutInCell="1" allowOverlap="1">
            <wp:simplePos x="0" y="0"/>
            <wp:positionH relativeFrom="column">
              <wp:posOffset>467360</wp:posOffset>
            </wp:positionH>
            <wp:positionV relativeFrom="paragraph">
              <wp:posOffset>85090</wp:posOffset>
            </wp:positionV>
            <wp:extent cx="4541520" cy="3020695"/>
            <wp:effectExtent l="0" t="0" r="11430" b="8255"/>
            <wp:wrapNone/>
            <wp:docPr id="4" name="图表 4" descr="7b0a202020202263686172745265734964223a202232303437343538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通过比对历史同期数据来看，投诉举报咨询接收数量主要有两个特点：一是投诉举报数量呈现持续上升趋势，特别是近三年涨幅明显，一方面东北夏季旅游热带来新的经济增长点，同时也引发了更多的消费纠纷，另一方面职业索赔人受利益驱使，多渠道接收举报量有增无减；二是今年第三季度解答咨询量较2022年、2023年同期大幅下降，原因为伊春市政务服务热线12345话务系统承接非市场监管咨询业务后，12315热线话务系统接收的咨询业务量明显减少，降幅超过一半。</w:t>
      </w:r>
    </w:p>
    <w:tbl>
      <w:tblPr>
        <w:tblStyle w:val="9"/>
        <w:tblpPr w:leftFromText="180" w:rightFromText="180" w:vertAnchor="text" w:horzAnchor="page" w:tblpX="1942" w:tblpY="50"/>
        <w:tblOverlap w:val="never"/>
        <w:tblW w:w="82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25"/>
        <w:gridCol w:w="1106"/>
        <w:gridCol w:w="1196"/>
        <w:gridCol w:w="1153"/>
        <w:gridCol w:w="1110"/>
        <w:gridCol w:w="1110"/>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1525" w:type="dxa"/>
            <w:tcBorders>
              <w:top w:val="single" w:color="75BD42" w:sz="4" w:space="0"/>
              <w:left w:val="single" w:color="75BD42" w:sz="4" w:space="0"/>
              <w:bottom w:val="single" w:color="FFFFFF" w:sz="4" w:space="0"/>
              <w:right w:val="single" w:color="FFFFFF" w:sz="4" w:space="0"/>
            </w:tcBorders>
            <w:shd w:val="clear" w:color="75BD42" w:fill="75BD42"/>
            <w:vAlign w:val="center"/>
          </w:tcPr>
          <w:p>
            <w:pPr>
              <w:keepNext w:val="0"/>
              <w:keepLines w:val="0"/>
              <w:widowControl/>
              <w:suppressLineNumbers w:val="0"/>
              <w:jc w:val="center"/>
              <w:textAlignment w:val="center"/>
              <w:rPr>
                <w:rFonts w:hint="eastAsia" w:ascii="宋体" w:hAnsi="宋体" w:eastAsia="宋体" w:cs="宋体"/>
                <w:b/>
                <w:bCs/>
                <w:i w:val="0"/>
                <w:iCs w:val="0"/>
                <w:color w:val="FFFFFF"/>
                <w:kern w:val="0"/>
                <w:sz w:val="22"/>
                <w:szCs w:val="22"/>
                <w:u w:val="none"/>
                <w:lang w:val="en-US" w:eastAsia="zh-CN" w:bidi="ar"/>
              </w:rPr>
            </w:pPr>
            <w:r>
              <w:rPr>
                <w:rFonts w:hint="eastAsia" w:ascii="宋体" w:hAnsi="宋体" w:eastAsia="宋体" w:cs="宋体"/>
                <w:b/>
                <w:bCs/>
                <w:i w:val="0"/>
                <w:iCs w:val="0"/>
                <w:color w:val="FFFFFF"/>
                <w:kern w:val="0"/>
                <w:sz w:val="22"/>
                <w:szCs w:val="22"/>
                <w:u w:val="none"/>
                <w:lang w:val="en-US" w:eastAsia="zh-CN" w:bidi="ar"/>
              </w:rPr>
              <w:t>历史同期</w:t>
            </w:r>
          </w:p>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（第三季度）</w:t>
            </w:r>
          </w:p>
        </w:tc>
        <w:tc>
          <w:tcPr>
            <w:tcW w:w="1106" w:type="dxa"/>
            <w:tcBorders>
              <w:top w:val="single" w:color="75BD42" w:sz="4" w:space="0"/>
              <w:left w:val="single" w:color="FFFFFF"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投诉（件）</w:t>
            </w:r>
          </w:p>
        </w:tc>
        <w:tc>
          <w:tcPr>
            <w:tcW w:w="1196" w:type="dxa"/>
            <w:tcBorders>
              <w:top w:val="single" w:color="75BD42" w:sz="4" w:space="0"/>
              <w:left w:val="single" w:color="FFFFFF"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同比</w:t>
            </w:r>
          </w:p>
        </w:tc>
        <w:tc>
          <w:tcPr>
            <w:tcW w:w="1153" w:type="dxa"/>
            <w:tcBorders>
              <w:top w:val="single" w:color="75BD42" w:sz="4" w:space="0"/>
              <w:left w:val="single" w:color="FFFFFF"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举报（件）</w:t>
            </w:r>
          </w:p>
        </w:tc>
        <w:tc>
          <w:tcPr>
            <w:tcW w:w="1110" w:type="dxa"/>
            <w:tcBorders>
              <w:top w:val="single" w:color="75BD42" w:sz="4" w:space="0"/>
              <w:left w:val="single" w:color="FFFFFF" w:sz="4" w:space="0"/>
              <w:bottom w:val="single" w:color="FFFFFF" w:sz="4" w:space="0"/>
              <w:right w:val="single" w:color="75BD42"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同比</w:t>
            </w:r>
          </w:p>
        </w:tc>
        <w:tc>
          <w:tcPr>
            <w:tcW w:w="1110" w:type="dxa"/>
            <w:tcBorders>
              <w:top w:val="single" w:color="75BD42" w:sz="4" w:space="0"/>
              <w:left w:val="single" w:color="FFFFFF"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咨询（件）</w:t>
            </w:r>
          </w:p>
        </w:tc>
        <w:tc>
          <w:tcPr>
            <w:tcW w:w="1077" w:type="dxa"/>
            <w:tcBorders>
              <w:top w:val="single" w:color="75BD42" w:sz="4" w:space="0"/>
              <w:left w:val="single" w:color="FFFFFF" w:sz="4" w:space="0"/>
              <w:bottom w:val="nil"/>
              <w:right w:val="single" w:color="75BD42"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525" w:type="dxa"/>
            <w:tcBorders>
              <w:top w:val="single" w:color="FFFFFF" w:sz="4" w:space="0"/>
              <w:left w:val="single" w:color="75BD42"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2020年</w:t>
            </w:r>
          </w:p>
        </w:tc>
        <w:tc>
          <w:tcPr>
            <w:tcW w:w="1106"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196"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153"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110"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110" w:type="dxa"/>
            <w:tcBorders>
              <w:top w:val="single" w:color="FFFFFF" w:sz="4" w:space="0"/>
              <w:left w:val="single" w:color="FFFFFF" w:sz="4" w:space="0"/>
              <w:bottom w:val="single" w:color="FFFFFF"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w:t>
            </w:r>
          </w:p>
        </w:tc>
        <w:tc>
          <w:tcPr>
            <w:tcW w:w="1077" w:type="dxa"/>
            <w:tcBorders>
              <w:top w:val="nil"/>
              <w:left w:val="nil"/>
              <w:bottom w:val="nil"/>
              <w:right w:val="nil"/>
            </w:tcBorders>
            <w:shd w:val="clear" w:color="E3F2D9" w:fill="E3F2D9"/>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525" w:type="dxa"/>
            <w:tcBorders>
              <w:top w:val="single" w:color="FFFFFF" w:sz="4" w:space="0"/>
              <w:left w:val="single" w:color="75BD42"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2021年</w:t>
            </w:r>
          </w:p>
        </w:tc>
        <w:tc>
          <w:tcPr>
            <w:tcW w:w="110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1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15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10"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110" w:type="dxa"/>
            <w:tcBorders>
              <w:top w:val="single" w:color="FFFFFF" w:sz="4" w:space="0"/>
              <w:left w:val="single" w:color="FFFFFF" w:sz="4" w:space="0"/>
              <w:bottom w:val="single" w:color="FFFFFF"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107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525" w:type="dxa"/>
            <w:tcBorders>
              <w:top w:val="single" w:color="FFFFFF" w:sz="4" w:space="0"/>
              <w:left w:val="single" w:color="75BD42"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2022年</w:t>
            </w:r>
          </w:p>
        </w:tc>
        <w:tc>
          <w:tcPr>
            <w:tcW w:w="1106"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196"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w:t>
            </w:r>
          </w:p>
        </w:tc>
        <w:tc>
          <w:tcPr>
            <w:tcW w:w="1153"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110" w:type="dxa"/>
            <w:tcBorders>
              <w:top w:val="single" w:color="FFFFFF" w:sz="4" w:space="0"/>
              <w:left w:val="single" w:color="FFFFFF" w:sz="4" w:space="0"/>
              <w:bottom w:val="single" w:color="FFFFFF"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w:t>
            </w:r>
          </w:p>
        </w:tc>
        <w:tc>
          <w:tcPr>
            <w:tcW w:w="1110" w:type="dxa"/>
            <w:tcBorders>
              <w:top w:val="single" w:color="FFFFFF" w:sz="4" w:space="0"/>
              <w:left w:val="single" w:color="FFFFFF" w:sz="4" w:space="0"/>
              <w:bottom w:val="single" w:color="FFFFFF"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1077"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525" w:type="dxa"/>
            <w:tcBorders>
              <w:top w:val="single" w:color="FFFFFF" w:sz="4" w:space="0"/>
              <w:left w:val="single" w:color="75BD42" w:sz="4" w:space="0"/>
              <w:bottom w:val="single" w:color="FFFFFF"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2023年</w:t>
            </w:r>
          </w:p>
        </w:tc>
        <w:tc>
          <w:tcPr>
            <w:tcW w:w="110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196"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w:t>
            </w:r>
          </w:p>
        </w:tc>
        <w:tc>
          <w:tcPr>
            <w:tcW w:w="1153"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110" w:type="dxa"/>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1110" w:type="dxa"/>
            <w:tcBorders>
              <w:top w:val="single" w:color="FFFFFF" w:sz="4" w:space="0"/>
              <w:left w:val="single" w:color="FFFFFF" w:sz="4" w:space="0"/>
              <w:bottom w:val="single" w:color="FFFFFF"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3414</w:t>
            </w:r>
          </w:p>
        </w:tc>
        <w:tc>
          <w:tcPr>
            <w:tcW w:w="107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525" w:type="dxa"/>
            <w:tcBorders>
              <w:top w:val="single" w:color="FFFFFF" w:sz="4" w:space="0"/>
              <w:left w:val="single" w:color="75BD42" w:sz="4" w:space="0"/>
              <w:bottom w:val="single" w:color="75BD42" w:sz="4" w:space="0"/>
              <w:right w:val="single" w:color="FFFFFF" w:sz="4" w:space="0"/>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2024年</w:t>
            </w:r>
          </w:p>
        </w:tc>
        <w:tc>
          <w:tcPr>
            <w:tcW w:w="1106" w:type="dxa"/>
            <w:tcBorders>
              <w:top w:val="single" w:color="FFFFFF" w:sz="4" w:space="0"/>
              <w:left w:val="single" w:color="FFFFFF" w:sz="4" w:space="0"/>
              <w:bottom w:val="single" w:color="75BD42"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1196" w:type="dxa"/>
            <w:tcBorders>
              <w:top w:val="single" w:color="FFFFFF" w:sz="4" w:space="0"/>
              <w:left w:val="single" w:color="FFFFFF" w:sz="4" w:space="0"/>
              <w:bottom w:val="single" w:color="75BD42"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153" w:type="dxa"/>
            <w:tcBorders>
              <w:top w:val="single" w:color="FFFFFF" w:sz="4" w:space="0"/>
              <w:left w:val="single" w:color="FFFFFF" w:sz="4" w:space="0"/>
              <w:bottom w:val="single" w:color="75BD42"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110" w:type="dxa"/>
            <w:tcBorders>
              <w:top w:val="single" w:color="FFFFFF" w:sz="4" w:space="0"/>
              <w:left w:val="single" w:color="FFFFFF" w:sz="4" w:space="0"/>
              <w:bottom w:val="single" w:color="75BD42" w:sz="4" w:space="0"/>
              <w:right w:val="single" w:color="FFFFFF" w:sz="4" w:space="0"/>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110" w:type="dxa"/>
            <w:tcBorders>
              <w:top w:val="single" w:color="FFFFFF" w:sz="4" w:space="0"/>
              <w:left w:val="single" w:color="FFFFFF" w:sz="4" w:space="0"/>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1077"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-51.17%</w:t>
            </w:r>
          </w:p>
        </w:tc>
      </w:tr>
    </w:tbl>
    <w:p>
      <w:pPr>
        <w:pStyle w:val="2"/>
        <w:ind w:left="0" w:leftChars="0" w:firstLine="321" w:firstLineChars="100"/>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（二）重点区域及企业接收投诉举报情况</w:t>
      </w:r>
    </w:p>
    <w:p>
      <w:pPr>
        <w:pStyle w:val="2"/>
        <w:rPr>
          <w:rStyle w:val="12"/>
          <w:rFonts w:hint="default"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pPr>
      <w:r>
        <w:rPr>
          <w:rStyle w:val="12"/>
          <w:rFonts w:hint="eastAsia" w:ascii="仿宋" w:hAnsi="仿宋" w:eastAsia="仿宋" w:cs="仿宋"/>
          <w:b w:val="0"/>
          <w:bCs/>
          <w:i w:val="0"/>
          <w:iCs w:val="0"/>
          <w:caps w:val="0"/>
          <w:color w:val="000000" w:themeColor="text1"/>
          <w:spacing w:val="0"/>
          <w:sz w:val="32"/>
          <w:szCs w:val="32"/>
          <w:shd w:val="clear" w:fill="FEFFFF"/>
          <w:lang w:val="en-US" w:eastAsia="zh-CN"/>
          <w14:textFill>
            <w14:solidFill>
              <w14:schemeClr w14:val="tx1"/>
            </w14:solidFill>
          </w14:textFill>
        </w:rPr>
        <w:t>从区域分布情况来看，伊美分局接收的投诉、举报量均排在全市首位，伊美区接收投诉举报量占全市总量的五分之一。通过企业投诉举报接收情况来看，排行前十名的企业中伊美区的企业有5家，占企业投诉举报前十名的50%。</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r>
        <w:rPr>
          <w:rFonts w:hint="eastAsia" w:ascii="仿宋" w:hAnsi="仿宋" w:eastAsia="仿宋" w:cs="仿宋"/>
          <w:b w:val="0"/>
          <w:bCs w:val="0"/>
          <w:sz w:val="32"/>
          <w:szCs w:val="32"/>
          <w:lang w:val="en-US" w:eastAsia="zh-CN"/>
        </w:rPr>
        <w:drawing>
          <wp:anchor distT="0" distB="0" distL="114300" distR="114300" simplePos="0" relativeHeight="251663360" behindDoc="0" locked="0" layoutInCell="1" allowOverlap="1">
            <wp:simplePos x="0" y="0"/>
            <wp:positionH relativeFrom="column">
              <wp:posOffset>171450</wp:posOffset>
            </wp:positionH>
            <wp:positionV relativeFrom="paragraph">
              <wp:posOffset>21590</wp:posOffset>
            </wp:positionV>
            <wp:extent cx="5035550" cy="2790825"/>
            <wp:effectExtent l="0" t="0" r="12700" b="47625"/>
            <wp:wrapNone/>
            <wp:docPr id="2" name="图表 2" descr="7b0a202020202263686172745265734964223a20223230303639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r>
        <w:rPr>
          <w:rStyle w:val="12"/>
          <w:rFonts w:hint="eastAsia" w:ascii="黑体" w:hAnsi="黑体" w:eastAsia="黑体" w:cs="黑体"/>
          <w:sz w:val="32"/>
          <w:szCs w:val="32"/>
          <w:lang w:eastAsia="zh-CN"/>
        </w:rPr>
        <w:drawing>
          <wp:anchor distT="0" distB="0" distL="114300" distR="114300" simplePos="0" relativeHeight="251665408" behindDoc="0" locked="0" layoutInCell="1" allowOverlap="1">
            <wp:simplePos x="0" y="0"/>
            <wp:positionH relativeFrom="column">
              <wp:posOffset>130175</wp:posOffset>
            </wp:positionH>
            <wp:positionV relativeFrom="paragraph">
              <wp:posOffset>32385</wp:posOffset>
            </wp:positionV>
            <wp:extent cx="5227955" cy="2921000"/>
            <wp:effectExtent l="0" t="0" r="10795" b="50800"/>
            <wp:wrapNone/>
            <wp:docPr id="11" name="图表 11" descr="7b0a202020202263686172745265734964223a2022343635303039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2"/>
        <w:rPr>
          <w:rStyle w:val="12"/>
          <w:rFonts w:hint="eastAsia" w:ascii="仿宋" w:hAnsi="仿宋" w:eastAsia="仿宋" w:cs="仿宋"/>
          <w:b w:val="0"/>
          <w:bCs/>
          <w:i w:val="0"/>
          <w:iCs w:val="0"/>
          <w:caps w:val="0"/>
          <w:color w:val="000000" w:themeColor="text1"/>
          <w:spacing w:val="0"/>
          <w:sz w:val="32"/>
          <w:szCs w:val="32"/>
          <w:shd w:val="clear" w:fill="FEFFFF"/>
          <w:lang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Style w:val="12"/>
          <w:rFonts w:hint="eastAsia" w:ascii="黑体" w:hAnsi="黑体" w:eastAsia="黑体" w:cs="黑体"/>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643" w:firstLineChars="200"/>
        <w:textAlignment w:val="auto"/>
        <w:rPr>
          <w:rStyle w:val="12"/>
          <w:rFonts w:hint="eastAsia" w:ascii="黑体" w:hAnsi="黑体" w:eastAsia="黑体" w:cs="黑体"/>
          <w:sz w:val="32"/>
          <w:szCs w:val="32"/>
          <w:lang w:eastAsia="zh-CN"/>
        </w:rPr>
      </w:pP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585" w:firstLineChars="182"/>
        <w:textAlignment w:val="auto"/>
        <w:rPr>
          <w:rStyle w:val="12"/>
          <w:rFonts w:hint="eastAsia" w:ascii="黑体" w:hAnsi="黑体" w:eastAsia="黑体" w:cs="黑体"/>
          <w:sz w:val="32"/>
          <w:szCs w:val="32"/>
          <w:lang w:eastAsia="zh-CN"/>
        </w:rPr>
      </w:pPr>
      <w:r>
        <w:rPr>
          <w:rStyle w:val="12"/>
          <w:rFonts w:hint="eastAsia" w:ascii="黑体" w:hAnsi="黑体" w:eastAsia="黑体" w:cs="黑体"/>
          <w:sz w:val="32"/>
          <w:szCs w:val="32"/>
        </w:rPr>
        <w:t>投诉</w:t>
      </w:r>
      <w:r>
        <w:rPr>
          <w:rStyle w:val="12"/>
          <w:rFonts w:hint="eastAsia" w:ascii="黑体" w:hAnsi="黑体" w:eastAsia="黑体" w:cs="黑体"/>
          <w:sz w:val="32"/>
          <w:szCs w:val="32"/>
          <w:lang w:eastAsia="zh-CN"/>
        </w:rPr>
        <w:t>情况分析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182" w:right="0" w:rightChars="0"/>
        <w:textAlignment w:val="auto"/>
        <w:rPr>
          <w:rStyle w:val="12"/>
          <w:rFonts w:hint="eastAsia" w:ascii="楷体" w:hAnsi="楷体" w:eastAsia="楷体" w:cs="楷体"/>
          <w:b/>
          <w:bCs w:val="0"/>
          <w:sz w:val="32"/>
          <w:szCs w:val="32"/>
          <w:lang w:eastAsia="zh-CN"/>
        </w:rPr>
      </w:pPr>
      <w:r>
        <w:rPr>
          <w:rStyle w:val="12"/>
          <w:rFonts w:hint="eastAsia" w:ascii="楷体" w:hAnsi="楷体" w:eastAsia="楷体" w:cs="楷体"/>
          <w:b/>
          <w:bCs w:val="0"/>
          <w:sz w:val="32"/>
          <w:szCs w:val="32"/>
          <w:lang w:eastAsia="zh-CN"/>
        </w:rPr>
        <w:t>（一）投诉按客体类别分析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三季度通过</w:t>
      </w:r>
      <w:r>
        <w:rPr>
          <w:rStyle w:val="12"/>
          <w:rFonts w:hint="eastAsia" w:ascii="仿宋" w:hAnsi="仿宋" w:eastAsia="仿宋" w:cs="仿宋"/>
          <w:b w:val="0"/>
          <w:bCs/>
          <w:i w:val="0"/>
          <w:iCs w:val="0"/>
          <w:caps w:val="0"/>
          <w:color w:val="000000" w:themeColor="text1"/>
          <w:spacing w:val="0"/>
          <w:kern w:val="2"/>
          <w:sz w:val="32"/>
          <w:szCs w:val="32"/>
          <w:shd w:val="clear" w:fill="FEFFFF"/>
          <w:lang w:val="en-US" w:eastAsia="zh-CN" w:bidi="ar-SA"/>
          <w14:textFill>
            <w14:solidFill>
              <w14:schemeClr w14:val="tx1"/>
            </w14:solidFill>
          </w14:textFill>
        </w:rPr>
        <w:t>12315热线、互联网等多渠道</w:t>
      </w:r>
      <w:r>
        <w:rPr>
          <w:rFonts w:hint="eastAsia" w:ascii="仿宋" w:hAnsi="仿宋" w:eastAsia="仿宋" w:cs="仿宋"/>
          <w:sz w:val="32"/>
          <w:szCs w:val="32"/>
          <w:lang w:val="en-US" w:eastAsia="zh-CN"/>
        </w:rPr>
        <w:t>接收</w:t>
      </w:r>
      <w:r>
        <w:rPr>
          <w:rFonts w:hint="eastAsia" w:ascii="仿宋" w:hAnsi="仿宋" w:eastAsia="仿宋" w:cs="仿宋"/>
          <w:sz w:val="32"/>
          <w:szCs w:val="32"/>
        </w:rPr>
        <w:t>投诉</w:t>
      </w:r>
      <w:r>
        <w:rPr>
          <w:rFonts w:hint="eastAsia" w:ascii="仿宋" w:hAnsi="仿宋" w:eastAsia="仿宋" w:cs="仿宋"/>
          <w:sz w:val="32"/>
          <w:szCs w:val="32"/>
          <w:lang w:val="en-US" w:eastAsia="zh-CN"/>
        </w:rPr>
        <w:t>555</w:t>
      </w:r>
      <w:r>
        <w:rPr>
          <w:rFonts w:hint="eastAsia" w:ascii="仿宋" w:hAnsi="仿宋" w:eastAsia="仿宋" w:cs="仿宋"/>
          <w:sz w:val="32"/>
          <w:szCs w:val="32"/>
        </w:rPr>
        <w:t>件</w:t>
      </w:r>
      <w:r>
        <w:rPr>
          <w:rFonts w:hint="eastAsia" w:ascii="仿宋" w:hAnsi="仿宋" w:eastAsia="仿宋" w:cs="仿宋"/>
          <w:sz w:val="32"/>
          <w:szCs w:val="32"/>
          <w:lang w:val="en-US" w:eastAsia="zh-CN"/>
        </w:rPr>
        <w:t>，其中商品类投诉399件，占投诉总量的71.89%；服务类投诉156件，占投诉总量的28.11%。</w:t>
      </w:r>
      <w:r>
        <w:rPr>
          <w:rFonts w:hint="eastAsia" w:ascii="仿宋" w:hAnsi="仿宋" w:eastAsia="仿宋" w:cs="仿宋"/>
          <w:sz w:val="32"/>
          <w:szCs w:val="32"/>
          <w:lang w:eastAsia="zh-CN"/>
        </w:rPr>
        <w:t>各类投诉依照</w:t>
      </w:r>
      <w:r>
        <w:rPr>
          <w:rFonts w:hint="eastAsia" w:ascii="仿宋" w:hAnsi="仿宋" w:eastAsia="仿宋" w:cs="仿宋"/>
          <w:sz w:val="32"/>
          <w:szCs w:val="32"/>
          <w:lang w:val="en-US" w:eastAsia="zh-CN"/>
        </w:rPr>
        <w:t>12315投诉举报工作规程均做到及时登记分派，各基层局依法进行处理，按时办结率100%。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398780</wp:posOffset>
            </wp:positionH>
            <wp:positionV relativeFrom="paragraph">
              <wp:posOffset>113030</wp:posOffset>
            </wp:positionV>
            <wp:extent cx="4563110" cy="2978785"/>
            <wp:effectExtent l="0" t="0" r="8890" b="50165"/>
            <wp:wrapNone/>
            <wp:docPr id="6" name="图表 6" descr="7b0a202020202263686172745265734964223a2022323034373633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仿宋" w:hAnsi="仿宋" w:eastAsia="仿宋" w:cs="仿宋"/>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color w:val="auto"/>
          <w:sz w:val="32"/>
          <w:szCs w:val="32"/>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color w:val="auto"/>
          <w:sz w:val="32"/>
          <w:szCs w:val="32"/>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color w:val="auto"/>
          <w:sz w:val="32"/>
          <w:szCs w:val="32"/>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仿宋" w:hAnsi="仿宋" w:eastAsia="仿宋" w:cs="仿宋"/>
          <w:color w:val="auto"/>
          <w:sz w:val="32"/>
          <w:szCs w:val="32"/>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仿宋" w:hAnsi="仿宋" w:eastAsia="仿宋" w:cs="仿宋"/>
          <w:color w:val="auto"/>
          <w:sz w:val="32"/>
          <w:szCs w:val="32"/>
          <w:lang w:val="en-US" w:eastAsia="zh-CN"/>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商品类</w:t>
      </w:r>
      <w:r>
        <w:rPr>
          <w:rFonts w:hint="eastAsia" w:ascii="仿宋" w:hAnsi="仿宋" w:eastAsia="仿宋" w:cs="仿宋"/>
          <w:sz w:val="32"/>
          <w:szCs w:val="32"/>
          <w:lang w:val="en-US" w:eastAsia="zh-CN"/>
        </w:rPr>
        <w:t>投诉量</w:t>
      </w:r>
      <w:r>
        <w:rPr>
          <w:rFonts w:hint="eastAsia" w:ascii="仿宋" w:hAnsi="仿宋" w:eastAsia="仿宋" w:cs="仿宋"/>
          <w:sz w:val="32"/>
          <w:szCs w:val="32"/>
          <w:lang w:eastAsia="zh-CN"/>
        </w:rPr>
        <w:t>排名</w:t>
      </w:r>
      <w:r>
        <w:rPr>
          <w:rFonts w:hint="eastAsia" w:ascii="仿宋" w:hAnsi="仿宋" w:eastAsia="仿宋" w:cs="仿宋"/>
          <w:sz w:val="32"/>
          <w:szCs w:val="32"/>
        </w:rPr>
        <w:t>前五</w:t>
      </w:r>
      <w:r>
        <w:rPr>
          <w:rFonts w:hint="eastAsia" w:ascii="仿宋" w:hAnsi="仿宋" w:eastAsia="仿宋" w:cs="仿宋"/>
          <w:sz w:val="32"/>
          <w:szCs w:val="32"/>
          <w:lang w:eastAsia="zh-CN"/>
        </w:rPr>
        <w:t>类分别是</w:t>
      </w:r>
      <w:r>
        <w:rPr>
          <w:rFonts w:hint="eastAsia" w:ascii="仿宋" w:hAnsi="仿宋" w:eastAsia="仿宋" w:cs="仿宋"/>
          <w:sz w:val="32"/>
          <w:szCs w:val="32"/>
        </w:rPr>
        <w:t>:</w:t>
      </w:r>
      <w:r>
        <w:rPr>
          <w:rFonts w:hint="eastAsia" w:ascii="仿宋" w:hAnsi="仿宋" w:eastAsia="仿宋" w:cs="仿宋"/>
          <w:color w:val="auto"/>
          <w:sz w:val="32"/>
          <w:szCs w:val="32"/>
        </w:rPr>
        <w:t>食品</w:t>
      </w:r>
      <w:r>
        <w:rPr>
          <w:rFonts w:hint="eastAsia" w:ascii="仿宋" w:hAnsi="仿宋" w:eastAsia="仿宋" w:cs="仿宋"/>
          <w:color w:val="auto"/>
          <w:sz w:val="32"/>
          <w:szCs w:val="32"/>
          <w:lang w:eastAsia="zh-CN"/>
        </w:rPr>
        <w:t>、家居用品、</w:t>
      </w:r>
      <w:r>
        <w:rPr>
          <w:rFonts w:hint="eastAsia" w:ascii="仿宋" w:hAnsi="仿宋" w:eastAsia="仿宋" w:cs="仿宋"/>
          <w:color w:val="auto"/>
          <w:sz w:val="32"/>
          <w:szCs w:val="32"/>
        </w:rPr>
        <w:t>服装鞋帽</w:t>
      </w:r>
      <w:r>
        <w:rPr>
          <w:rFonts w:hint="eastAsia" w:ascii="仿宋" w:hAnsi="仿宋" w:eastAsia="仿宋" w:cs="仿宋"/>
          <w:color w:val="auto"/>
          <w:sz w:val="32"/>
          <w:szCs w:val="32"/>
          <w:lang w:eastAsia="zh-CN"/>
        </w:rPr>
        <w:t>、家用电器、首饰</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占商品类投诉的</w:t>
      </w:r>
      <w:r>
        <w:rPr>
          <w:rFonts w:hint="eastAsia" w:ascii="仿宋" w:hAnsi="仿宋" w:eastAsia="仿宋" w:cs="仿宋"/>
          <w:sz w:val="32"/>
          <w:szCs w:val="32"/>
          <w:lang w:val="en-US" w:eastAsia="zh-CN"/>
        </w:rPr>
        <w:t>82.96%。与去年数据比对，居民消费支出仍然偏向食品、服装、日常消费品等商品，因此消费结构相对稳定。</w:t>
      </w:r>
    </w:p>
    <w:tbl>
      <w:tblPr>
        <w:tblStyle w:val="9"/>
        <w:tblW w:w="7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76"/>
        <w:gridCol w:w="1720"/>
        <w:gridCol w:w="1714"/>
        <w:gridCol w:w="1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jc w:val="center"/>
        </w:trPr>
        <w:tc>
          <w:tcPr>
            <w:tcW w:w="7940" w:type="dxa"/>
            <w:gridSpan w:val="4"/>
            <w:tcBorders>
              <w:top w:val="nil"/>
              <w:left w:val="nil"/>
              <w:bottom w:val="nil"/>
              <w:right w:val="nil"/>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热点商品类TOP5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2576"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类别</w:t>
            </w:r>
          </w:p>
        </w:tc>
        <w:tc>
          <w:tcPr>
            <w:tcW w:w="1720"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投诉量（件）</w:t>
            </w:r>
          </w:p>
        </w:tc>
        <w:tc>
          <w:tcPr>
            <w:tcW w:w="1714"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占投诉比重</w:t>
            </w:r>
          </w:p>
        </w:tc>
        <w:tc>
          <w:tcPr>
            <w:tcW w:w="1930"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2576"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食品</w:t>
            </w:r>
          </w:p>
        </w:tc>
        <w:tc>
          <w:tcPr>
            <w:tcW w:w="1720"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273</w:t>
            </w:r>
          </w:p>
        </w:tc>
        <w:tc>
          <w:tcPr>
            <w:tcW w:w="1714"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49.19%</w:t>
            </w:r>
          </w:p>
        </w:tc>
        <w:tc>
          <w:tcPr>
            <w:tcW w:w="1930"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25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家居用品</w:t>
            </w:r>
          </w:p>
        </w:tc>
        <w:tc>
          <w:tcPr>
            <w:tcW w:w="17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22</w:t>
            </w:r>
          </w:p>
        </w:tc>
        <w:tc>
          <w:tcPr>
            <w:tcW w:w="171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3.96%</w:t>
            </w:r>
          </w:p>
        </w:tc>
        <w:tc>
          <w:tcPr>
            <w:tcW w:w="193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214.29%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2576"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服装、鞋帽</w:t>
            </w:r>
          </w:p>
        </w:tc>
        <w:tc>
          <w:tcPr>
            <w:tcW w:w="1720"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18</w:t>
            </w:r>
          </w:p>
        </w:tc>
        <w:tc>
          <w:tcPr>
            <w:tcW w:w="1714"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3.24%</w:t>
            </w:r>
          </w:p>
        </w:tc>
        <w:tc>
          <w:tcPr>
            <w:tcW w:w="1930"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257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家用电器</w:t>
            </w:r>
          </w:p>
        </w:tc>
        <w:tc>
          <w:tcPr>
            <w:tcW w:w="172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10</w:t>
            </w:r>
          </w:p>
        </w:tc>
        <w:tc>
          <w:tcPr>
            <w:tcW w:w="171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1.80%</w:t>
            </w:r>
          </w:p>
        </w:tc>
        <w:tc>
          <w:tcPr>
            <w:tcW w:w="193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2576"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首饰</w:t>
            </w:r>
          </w:p>
        </w:tc>
        <w:tc>
          <w:tcPr>
            <w:tcW w:w="1720"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8</w:t>
            </w:r>
          </w:p>
        </w:tc>
        <w:tc>
          <w:tcPr>
            <w:tcW w:w="1714"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1.44%</w:t>
            </w:r>
          </w:p>
        </w:tc>
        <w:tc>
          <w:tcPr>
            <w:tcW w:w="1930"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sz w:val="22"/>
                <w:szCs w:val="22"/>
                <w:u w:val="none"/>
              </w:rPr>
            </w:pPr>
            <w:r>
              <w:rPr>
                <w:rFonts w:hint="eastAsia" w:ascii="宋体" w:hAnsi="宋体" w:eastAsia="宋体" w:cs="宋体"/>
                <w:i w:val="0"/>
                <w:iCs w:val="0"/>
                <w:color w:val="3C5F21"/>
                <w:kern w:val="0"/>
                <w:sz w:val="22"/>
                <w:szCs w:val="22"/>
                <w:u w:val="none"/>
                <w:lang w:val="en-US" w:eastAsia="zh-CN" w:bidi="ar"/>
              </w:rPr>
              <w:t>-50.00%</w:t>
            </w:r>
          </w:p>
        </w:tc>
      </w:tr>
    </w:tbl>
    <w:p>
      <w:pPr>
        <w:pStyle w:val="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服务类</w:t>
      </w:r>
      <w:r>
        <w:rPr>
          <w:rFonts w:hint="eastAsia" w:ascii="仿宋" w:hAnsi="仿宋" w:eastAsia="仿宋" w:cs="仿宋"/>
          <w:color w:val="auto"/>
          <w:sz w:val="32"/>
          <w:szCs w:val="32"/>
          <w:lang w:eastAsia="zh-CN"/>
        </w:rPr>
        <w:t>投诉量</w:t>
      </w:r>
      <w:r>
        <w:rPr>
          <w:rFonts w:hint="eastAsia" w:ascii="仿宋" w:hAnsi="仿宋" w:eastAsia="仿宋" w:cs="仿宋"/>
          <w:color w:val="auto"/>
          <w:sz w:val="32"/>
          <w:szCs w:val="32"/>
        </w:rPr>
        <w:t>排</w:t>
      </w:r>
      <w:r>
        <w:rPr>
          <w:rFonts w:hint="eastAsia" w:ascii="仿宋" w:hAnsi="仿宋" w:eastAsia="仿宋" w:cs="仿宋"/>
          <w:color w:val="auto"/>
          <w:sz w:val="32"/>
          <w:szCs w:val="32"/>
          <w:lang w:eastAsia="zh-CN"/>
        </w:rPr>
        <w:t>名前五类分别</w:t>
      </w:r>
      <w:r>
        <w:rPr>
          <w:rFonts w:hint="eastAsia" w:ascii="仿宋" w:hAnsi="仿宋" w:eastAsia="仿宋" w:cs="仿宋"/>
          <w:color w:val="auto"/>
          <w:sz w:val="32"/>
          <w:szCs w:val="32"/>
        </w:rPr>
        <w:t>是</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餐饮和住宿服务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其他服务、销售服务、美容美发洗浴</w:t>
      </w:r>
      <w:r>
        <w:rPr>
          <w:rFonts w:hint="eastAsia" w:ascii="仿宋" w:hAnsi="仿宋" w:eastAsia="仿宋" w:cs="仿宋"/>
          <w:color w:val="auto"/>
          <w:sz w:val="32"/>
          <w:szCs w:val="32"/>
        </w:rPr>
        <w:t>服务</w:t>
      </w:r>
      <w:r>
        <w:rPr>
          <w:rFonts w:hint="eastAsia" w:ascii="仿宋" w:hAnsi="仿宋" w:eastAsia="仿宋" w:cs="仿宋"/>
          <w:color w:val="auto"/>
          <w:sz w:val="32"/>
          <w:szCs w:val="32"/>
          <w:lang w:val="en-US" w:eastAsia="zh-CN"/>
        </w:rPr>
        <w:t>、教育培训服务，</w:t>
      </w:r>
      <w:r>
        <w:rPr>
          <w:rFonts w:hint="eastAsia" w:ascii="仿宋" w:hAnsi="仿宋" w:eastAsia="仿宋" w:cs="仿宋"/>
          <w:color w:val="auto"/>
          <w:sz w:val="32"/>
          <w:szCs w:val="32"/>
          <w:lang w:eastAsia="zh-CN"/>
        </w:rPr>
        <w:t>占服务类投诉的</w:t>
      </w:r>
      <w:r>
        <w:rPr>
          <w:rFonts w:hint="eastAsia" w:ascii="仿宋" w:hAnsi="仿宋" w:eastAsia="仿宋" w:cs="仿宋"/>
          <w:color w:val="auto"/>
          <w:sz w:val="32"/>
          <w:szCs w:val="32"/>
          <w:lang w:val="en-US" w:eastAsia="zh-CN"/>
        </w:rPr>
        <w:t>80.13%。第三季度正值伊春市夏、秋季旅游旺季，餐饮和住宿服务业</w:t>
      </w:r>
      <w:r>
        <w:rPr>
          <w:rFonts w:hint="eastAsia" w:ascii="仿宋" w:hAnsi="仿宋" w:eastAsia="仿宋" w:cs="仿宋"/>
          <w:color w:val="000000"/>
          <w:kern w:val="2"/>
          <w:sz w:val="32"/>
          <w:szCs w:val="32"/>
          <w:lang w:val="en-US" w:eastAsia="zh-CN" w:bidi="ar-SA"/>
        </w:rPr>
        <w:t>为旅游消费投诉集中行业，通过两年度数据对比也印证了这一事实，且2024年此行业投诉量仍在上升，建议应进一步加强此行业的监管与规范。</w:t>
      </w:r>
    </w:p>
    <w:tbl>
      <w:tblPr>
        <w:tblStyle w:val="9"/>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9"/>
        <w:gridCol w:w="1761"/>
        <w:gridCol w:w="1755"/>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40" w:type="dxa"/>
            <w:gridSpan w:val="4"/>
            <w:tcBorders>
              <w:top w:val="nil"/>
              <w:left w:val="nil"/>
              <w:bottom w:val="nil"/>
              <w:right w:val="nil"/>
            </w:tcBorders>
            <w:shd w:val="clear" w:color="75BD42" w:fill="75BD42"/>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热点服务类TOP5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2639"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类别</w:t>
            </w:r>
          </w:p>
        </w:tc>
        <w:tc>
          <w:tcPr>
            <w:tcW w:w="1761"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投诉量（件）</w:t>
            </w:r>
          </w:p>
        </w:tc>
        <w:tc>
          <w:tcPr>
            <w:tcW w:w="1755"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占投诉比重</w:t>
            </w:r>
          </w:p>
        </w:tc>
        <w:tc>
          <w:tcPr>
            <w:tcW w:w="1985" w:type="dxa"/>
            <w:tcBorders>
              <w:top w:val="single" w:color="75BD42" w:sz="4" w:space="0"/>
              <w:left w:val="nil"/>
              <w:bottom w:val="single" w:color="75BD42" w:sz="8"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C5F21"/>
                <w:sz w:val="22"/>
                <w:szCs w:val="22"/>
                <w:u w:val="none"/>
              </w:rPr>
            </w:pPr>
            <w:r>
              <w:rPr>
                <w:rFonts w:hint="eastAsia" w:ascii="宋体" w:hAnsi="宋体" w:eastAsia="宋体" w:cs="宋体"/>
                <w:b/>
                <w:bCs/>
                <w:i w:val="0"/>
                <w:iCs w:val="0"/>
                <w:color w:val="3C5F21"/>
                <w:kern w:val="0"/>
                <w:sz w:val="22"/>
                <w:szCs w:val="22"/>
                <w:u w:val="none"/>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2639"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餐饮和住宿服务</w:t>
            </w:r>
          </w:p>
        </w:tc>
        <w:tc>
          <w:tcPr>
            <w:tcW w:w="1761"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84</w:t>
            </w:r>
          </w:p>
        </w:tc>
        <w:tc>
          <w:tcPr>
            <w:tcW w:w="1755"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15.14%</w:t>
            </w:r>
          </w:p>
        </w:tc>
        <w:tc>
          <w:tcPr>
            <w:tcW w:w="1985" w:type="dxa"/>
            <w:tcBorders>
              <w:top w:val="single" w:color="75BD42" w:sz="8" w:space="0"/>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44.83%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63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其他</w:t>
            </w:r>
          </w:p>
        </w:tc>
        <w:tc>
          <w:tcPr>
            <w:tcW w:w="17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13</w:t>
            </w:r>
          </w:p>
        </w:tc>
        <w:tc>
          <w:tcPr>
            <w:tcW w:w="175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2.34%</w:t>
            </w:r>
          </w:p>
        </w:tc>
        <w:tc>
          <w:tcPr>
            <w:tcW w:w="19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639"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销售服务</w:t>
            </w:r>
          </w:p>
        </w:tc>
        <w:tc>
          <w:tcPr>
            <w:tcW w:w="1761"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10</w:t>
            </w:r>
          </w:p>
        </w:tc>
        <w:tc>
          <w:tcPr>
            <w:tcW w:w="1755"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1.80%</w:t>
            </w:r>
          </w:p>
        </w:tc>
        <w:tc>
          <w:tcPr>
            <w:tcW w:w="1985" w:type="dxa"/>
            <w:tcBorders>
              <w:top w:val="nil"/>
              <w:left w:val="nil"/>
              <w:bottom w:val="nil"/>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63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美容、美发、洗浴服务</w:t>
            </w:r>
          </w:p>
        </w:tc>
        <w:tc>
          <w:tcPr>
            <w:tcW w:w="17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9</w:t>
            </w:r>
          </w:p>
        </w:tc>
        <w:tc>
          <w:tcPr>
            <w:tcW w:w="175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1.62%</w:t>
            </w:r>
          </w:p>
        </w:tc>
        <w:tc>
          <w:tcPr>
            <w:tcW w:w="19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2639"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教育、培训服务</w:t>
            </w:r>
          </w:p>
        </w:tc>
        <w:tc>
          <w:tcPr>
            <w:tcW w:w="1761"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9</w:t>
            </w:r>
          </w:p>
        </w:tc>
        <w:tc>
          <w:tcPr>
            <w:tcW w:w="1755"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1.62%</w:t>
            </w:r>
          </w:p>
        </w:tc>
        <w:tc>
          <w:tcPr>
            <w:tcW w:w="1985" w:type="dxa"/>
            <w:tcBorders>
              <w:top w:val="nil"/>
              <w:left w:val="nil"/>
              <w:bottom w:val="single" w:color="75BD42" w:sz="4" w:space="0"/>
              <w:right w:val="nil"/>
            </w:tcBorders>
            <w:shd w:val="clear" w:color="E3F2D9" w:fill="E3F2D9"/>
            <w:noWrap/>
            <w:vAlign w:val="center"/>
          </w:tcPr>
          <w:p>
            <w:pPr>
              <w:keepNext w:val="0"/>
              <w:keepLines w:val="0"/>
              <w:widowControl/>
              <w:suppressLineNumbers w:val="0"/>
              <w:jc w:val="center"/>
              <w:textAlignment w:val="center"/>
              <w:rPr>
                <w:rFonts w:hint="eastAsia" w:ascii="宋体" w:hAnsi="宋体" w:eastAsia="宋体" w:cs="宋体"/>
                <w:i w:val="0"/>
                <w:iCs w:val="0"/>
                <w:color w:val="3C5F21"/>
                <w:kern w:val="0"/>
                <w:sz w:val="22"/>
                <w:szCs w:val="22"/>
                <w:u w:val="none"/>
                <w:lang w:val="en-US" w:eastAsia="zh-CN" w:bidi="ar"/>
              </w:rPr>
            </w:pPr>
            <w:r>
              <w:rPr>
                <w:rFonts w:hint="eastAsia" w:ascii="宋体" w:hAnsi="宋体" w:eastAsia="宋体" w:cs="宋体"/>
                <w:i w:val="0"/>
                <w:iCs w:val="0"/>
                <w:color w:val="3C5F21"/>
                <w:kern w:val="0"/>
                <w:sz w:val="22"/>
                <w:szCs w:val="22"/>
                <w:u w:val="none"/>
                <w:lang w:val="en-US" w:eastAsia="zh-CN" w:bidi="ar"/>
              </w:rPr>
              <w:t>-40.00%</w:t>
            </w:r>
          </w:p>
        </w:tc>
      </w:tr>
    </w:tbl>
    <w:p>
      <w:pPr>
        <w:keepNext w:val="0"/>
        <w:keepLines w:val="0"/>
        <w:pageBreakBefore w:val="0"/>
        <w:numPr>
          <w:ilvl w:val="0"/>
          <w:numId w:val="3"/>
        </w:numPr>
        <w:kinsoku/>
        <w:wordWrap/>
        <w:overflowPunct/>
        <w:topLinePunct w:val="0"/>
        <w:autoSpaceDE/>
        <w:autoSpaceDN/>
        <w:bidi w:val="0"/>
        <w:adjustRightInd/>
        <w:snapToGrid/>
        <w:spacing w:line="520" w:lineRule="exact"/>
        <w:ind w:left="0" w:leftChars="0" w:firstLine="643" w:firstLineChars="200"/>
        <w:textAlignment w:val="auto"/>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投诉按问题类别分析</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投诉问题前五名的分别为：</w:t>
      </w:r>
      <w:r>
        <w:rPr>
          <w:rFonts w:hint="eastAsia" w:ascii="仿宋" w:hAnsi="仿宋" w:eastAsia="仿宋" w:cs="仿宋"/>
          <w:b w:val="0"/>
          <w:bCs w:val="0"/>
          <w:color w:val="auto"/>
          <w:kern w:val="0"/>
          <w:sz w:val="32"/>
          <w:szCs w:val="32"/>
          <w:lang w:val="en-US" w:eastAsia="zh-CN" w:bidi="ar"/>
        </w:rPr>
        <w:t>食品安全207件、其他77件、售后服务67件、质量48件、标准化32件，</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以上五类占投诉总量的77.66%。“民以食为天，食以安为先”，食品安全仍然是投诉的集中问题，也应是市场监管的重点领域。</w:t>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r>
        <w:rPr>
          <w:rFonts w:hint="eastAsia" w:ascii="仿宋" w:hAnsi="仿宋" w:eastAsia="仿宋" w:cs="仿宋"/>
          <w:color w:val="auto"/>
          <w:sz w:val="32"/>
          <w:szCs w:val="32"/>
          <w:lang w:val="en-US" w:eastAsia="zh-CN"/>
        </w:rPr>
        <w:drawing>
          <wp:anchor distT="0" distB="0" distL="114300" distR="114300" simplePos="0" relativeHeight="251662336" behindDoc="0" locked="0" layoutInCell="1" allowOverlap="1">
            <wp:simplePos x="0" y="0"/>
            <wp:positionH relativeFrom="column">
              <wp:posOffset>304800</wp:posOffset>
            </wp:positionH>
            <wp:positionV relativeFrom="paragraph">
              <wp:posOffset>62865</wp:posOffset>
            </wp:positionV>
            <wp:extent cx="4837430" cy="3538220"/>
            <wp:effectExtent l="0" t="0" r="1270" b="5080"/>
            <wp:wrapNone/>
            <wp:docPr id="5" name="图表 5" descr="7b0a202020202263686172745265734964223a2022323034373535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
          <w14:textFill>
            <w14:solidFill>
              <w14:schemeClr w14:val="tx1"/>
            </w14:solidFill>
          </w14:textFill>
        </w:rPr>
        <w:t>（三）投诉热点分析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仿宋" w:hAnsi="仿宋" w:eastAsia="仿宋" w:cs="仿宋"/>
          <w:color w:val="000000"/>
          <w:kern w:val="2"/>
          <w:sz w:val="32"/>
          <w:szCs w:val="32"/>
          <w:lang w:val="en-US" w:eastAsia="zh-CN" w:bidi="ar-SA"/>
        </w:rPr>
      </w:pPr>
      <w:r>
        <w:rPr>
          <w:rFonts w:hint="eastAsia"/>
          <w:lang w:val="en-US" w:eastAsia="zh-CN"/>
        </w:rPr>
        <w:t xml:space="preserve"> </w:t>
      </w:r>
      <w:r>
        <w:rPr>
          <w:rFonts w:hint="eastAsia" w:ascii="仿宋" w:hAnsi="仿宋" w:eastAsia="仿宋" w:cs="仿宋"/>
          <w:b/>
          <w:bCs/>
          <w:sz w:val="32"/>
          <w:szCs w:val="32"/>
          <w:lang w:val="en-US" w:eastAsia="zh-CN"/>
        </w:rPr>
        <w:t>投诉热点领域</w:t>
      </w:r>
      <w:r>
        <w:rPr>
          <w:rFonts w:hint="eastAsia" w:ascii="仿宋" w:hAnsi="仿宋" w:eastAsia="仿宋" w:cs="仿宋"/>
          <w:sz w:val="32"/>
          <w:szCs w:val="32"/>
          <w:lang w:val="en-US" w:eastAsia="zh-CN"/>
        </w:rPr>
        <w:t>主要集中在餐饮和住宿行业、食品、服装鞋帽、家居用品等涉及民生基本保障行业，食品安全、服装鞋帽等领域2024年增速加快；</w:t>
      </w:r>
      <w:r>
        <w:rPr>
          <w:rFonts w:hint="eastAsia" w:ascii="仿宋" w:hAnsi="仿宋" w:eastAsia="仿宋" w:cs="仿宋"/>
          <w:b/>
          <w:bCs/>
          <w:sz w:val="32"/>
          <w:szCs w:val="32"/>
          <w:lang w:val="en-US" w:eastAsia="zh-CN"/>
        </w:rPr>
        <w:t>投诉热点问题</w:t>
      </w:r>
      <w:r>
        <w:rPr>
          <w:rFonts w:hint="eastAsia" w:ascii="仿宋" w:hAnsi="仿宋" w:eastAsia="仿宋" w:cs="仿宋"/>
          <w:sz w:val="32"/>
          <w:szCs w:val="32"/>
          <w:lang w:val="en-US" w:eastAsia="zh-CN"/>
        </w:rPr>
        <w:t>多在</w:t>
      </w:r>
      <w:r>
        <w:rPr>
          <w:rFonts w:hint="eastAsia" w:ascii="仿宋" w:hAnsi="仿宋" w:eastAsia="仿宋" w:cs="仿宋"/>
          <w:color w:val="000000"/>
          <w:kern w:val="2"/>
          <w:sz w:val="32"/>
          <w:szCs w:val="32"/>
          <w:lang w:val="en-US" w:eastAsia="zh-CN" w:bidi="ar-SA"/>
        </w:rPr>
        <w:t>食品安全、售后服务、产品质量、合同履行等问题上容易引发纠纷；</w:t>
      </w:r>
      <w:r>
        <w:rPr>
          <w:rFonts w:hint="eastAsia" w:ascii="仿宋" w:hAnsi="仿宋" w:eastAsia="仿宋" w:cs="仿宋"/>
          <w:b/>
          <w:bCs/>
          <w:color w:val="000000"/>
          <w:kern w:val="2"/>
          <w:sz w:val="32"/>
          <w:szCs w:val="32"/>
          <w:lang w:val="en-US" w:eastAsia="zh-CN" w:bidi="ar-SA"/>
        </w:rPr>
        <w:t>新的增长趋势</w:t>
      </w:r>
      <w:r>
        <w:rPr>
          <w:rFonts w:hint="eastAsia" w:ascii="仿宋" w:hAnsi="仿宋" w:eastAsia="仿宋" w:cs="仿宋"/>
          <w:b w:val="0"/>
          <w:bCs w:val="0"/>
          <w:color w:val="000000"/>
          <w:kern w:val="2"/>
          <w:sz w:val="32"/>
          <w:szCs w:val="32"/>
          <w:lang w:val="en-US" w:eastAsia="zh-CN" w:bidi="ar-SA"/>
        </w:rPr>
        <w:t>体现在</w:t>
      </w:r>
      <w:r>
        <w:rPr>
          <w:rFonts w:hint="eastAsia" w:ascii="仿宋" w:hAnsi="仿宋" w:eastAsia="仿宋" w:cs="仿宋"/>
          <w:color w:val="000000"/>
          <w:kern w:val="2"/>
          <w:sz w:val="32"/>
          <w:szCs w:val="32"/>
          <w:lang w:val="en-US" w:eastAsia="zh-CN" w:bidi="ar-SA"/>
        </w:rPr>
        <w:t>不正当竞争、标准化等方面的投诉呈现上升趋势，</w:t>
      </w:r>
      <w:r>
        <w:rPr>
          <w:rStyle w:val="12"/>
          <w:rFonts w:hint="eastAsia" w:ascii="仿宋" w:hAnsi="仿宋" w:eastAsia="仿宋" w:cs="仿宋"/>
          <w:b w:val="0"/>
          <w:bCs w:val="0"/>
          <w:sz w:val="32"/>
          <w:szCs w:val="32"/>
          <w:lang w:val="en-US" w:eastAsia="zh-CN"/>
        </w:rPr>
        <w:t>反映消费者已经从关注“物质方面”开始转向关注“精神方面”，不仅仅要求商品和服务本身质量过关，还密切关注着宣传商品和服务的广告、产品是否符合国家标准等问题，这也是消费升级的侧面映衬，也为执法监管指明了新的方向。</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firstLine="582" w:firstLineChars="182"/>
        <w:textAlignment w:val="auto"/>
        <w:rPr>
          <w:rFonts w:hint="default" w:ascii="仿宋" w:hAnsi="仿宋" w:eastAsia="仿宋" w:cs="仿宋"/>
          <w:sz w:val="32"/>
          <w:szCs w:val="32"/>
          <w:lang w:val="en-US" w:eastAsia="zh-CN"/>
        </w:rPr>
      </w:pPr>
      <w:r>
        <w:rPr>
          <w:rStyle w:val="12"/>
          <w:rFonts w:hint="eastAsia" w:ascii="黑体" w:hAnsi="黑体" w:eastAsia="黑体" w:cs="黑体"/>
          <w:b w:val="0"/>
          <w:bCs/>
          <w:color w:val="auto"/>
          <w:sz w:val="32"/>
          <w:szCs w:val="32"/>
        </w:rPr>
        <w:t>举报</w:t>
      </w:r>
      <w:r>
        <w:rPr>
          <w:rStyle w:val="12"/>
          <w:rFonts w:hint="eastAsia" w:ascii="黑体" w:hAnsi="黑体" w:eastAsia="黑体" w:cs="黑体"/>
          <w:b w:val="0"/>
          <w:bCs/>
          <w:color w:val="auto"/>
          <w:sz w:val="32"/>
          <w:szCs w:val="32"/>
          <w:lang w:eastAsia="zh-CN"/>
        </w:rPr>
        <w:t>情况分析</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三季度伊春市多渠道接收举报210件，为五年来接收数量最多，其中非话务热线接收举报数量逐年上升。</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3" w:leftChars="0" w:right="0" w:firstLine="643" w:firstLineChars="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按问题类别统计分析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本季度接收的举报中，反映</w:t>
      </w:r>
      <w:r>
        <w:rPr>
          <w:rFonts w:hint="eastAsia" w:ascii="仿宋" w:hAnsi="仿宋" w:eastAsia="仿宋" w:cs="仿宋"/>
          <w:b w:val="0"/>
          <w:bCs w:val="0"/>
          <w:color w:val="auto"/>
          <w:sz w:val="32"/>
          <w:szCs w:val="32"/>
        </w:rPr>
        <w:t>广</w:t>
      </w:r>
      <w:r>
        <w:rPr>
          <w:rFonts w:hint="eastAsia" w:ascii="仿宋" w:hAnsi="仿宋" w:eastAsia="仿宋" w:cs="仿宋"/>
          <w:color w:val="auto"/>
          <w:sz w:val="32"/>
          <w:szCs w:val="32"/>
        </w:rPr>
        <w:t>告违法</w:t>
      </w:r>
      <w:r>
        <w:rPr>
          <w:rFonts w:hint="eastAsia" w:ascii="仿宋" w:hAnsi="仿宋" w:eastAsia="仿宋" w:cs="仿宋"/>
          <w:color w:val="auto"/>
          <w:sz w:val="32"/>
          <w:szCs w:val="32"/>
          <w:lang w:eastAsia="zh-CN"/>
        </w:rPr>
        <w:t>行为（</w:t>
      </w:r>
      <w:r>
        <w:rPr>
          <w:rFonts w:hint="eastAsia" w:ascii="仿宋" w:hAnsi="仿宋" w:eastAsia="仿宋" w:cs="仿宋"/>
          <w:color w:val="auto"/>
          <w:sz w:val="32"/>
          <w:szCs w:val="32"/>
          <w:lang w:val="en-US" w:eastAsia="zh-CN"/>
        </w:rPr>
        <w:t>54件</w:t>
      </w:r>
      <w:r>
        <w:rPr>
          <w:rFonts w:hint="eastAsia" w:ascii="仿宋" w:hAnsi="仿宋" w:eastAsia="仿宋" w:cs="仿宋"/>
          <w:color w:val="auto"/>
          <w:sz w:val="32"/>
          <w:szCs w:val="32"/>
          <w:lang w:eastAsia="zh-CN"/>
        </w:rPr>
        <w:t>）仍排在首位，占举报总量的</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lang w:eastAsia="zh-CN"/>
        </w:rPr>
        <w:t>，且</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lang w:eastAsia="zh-CN"/>
        </w:rPr>
        <w:t>为消费者通过互联网自行发起；其次是反映</w:t>
      </w:r>
      <w:r>
        <w:rPr>
          <w:rFonts w:hint="eastAsia" w:ascii="仿宋" w:hAnsi="仿宋" w:eastAsia="仿宋" w:cs="仿宋"/>
          <w:color w:val="auto"/>
          <w:sz w:val="32"/>
          <w:szCs w:val="32"/>
        </w:rPr>
        <w:t>食品</w:t>
      </w:r>
      <w:r>
        <w:rPr>
          <w:rFonts w:hint="eastAsia" w:ascii="仿宋" w:hAnsi="仿宋" w:eastAsia="仿宋" w:cs="仿宋"/>
          <w:color w:val="auto"/>
          <w:sz w:val="32"/>
          <w:szCs w:val="32"/>
          <w:lang w:eastAsia="zh-CN"/>
        </w:rPr>
        <w:t>安全违法行为（</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件</w:t>
      </w:r>
      <w:r>
        <w:rPr>
          <w:rFonts w:hint="eastAsia" w:ascii="仿宋" w:hAnsi="仿宋" w:eastAsia="仿宋" w:cs="仿宋"/>
          <w:color w:val="auto"/>
          <w:sz w:val="32"/>
          <w:szCs w:val="32"/>
          <w:lang w:eastAsia="zh-CN"/>
        </w:rPr>
        <w:t>），占比</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lang w:val="en-US" w:eastAsia="zh-CN"/>
        </w:rPr>
        <w:t>72.5%的消费者选择通过互联网发起举报</w:t>
      </w:r>
      <w:r>
        <w:rPr>
          <w:rFonts w:hint="eastAsia" w:ascii="仿宋" w:hAnsi="仿宋" w:eastAsia="仿宋" w:cs="仿宋"/>
          <w:color w:val="auto"/>
          <w:sz w:val="32"/>
          <w:szCs w:val="32"/>
        </w:rPr>
        <w:t>；不正当竞争</w:t>
      </w:r>
      <w:r>
        <w:rPr>
          <w:rFonts w:hint="eastAsia" w:ascii="仿宋" w:hAnsi="仿宋" w:eastAsia="仿宋" w:cs="仿宋"/>
          <w:color w:val="auto"/>
          <w:sz w:val="32"/>
          <w:szCs w:val="32"/>
          <w:lang w:eastAsia="zh-CN"/>
        </w:rPr>
        <w:t>违法行为</w:t>
      </w:r>
      <w:r>
        <w:rPr>
          <w:rFonts w:hint="eastAsia" w:ascii="仿宋" w:hAnsi="仿宋" w:eastAsia="仿宋" w:cs="仿宋"/>
          <w:color w:val="auto"/>
          <w:sz w:val="32"/>
          <w:szCs w:val="32"/>
          <w:lang w:val="en-US" w:eastAsia="zh-CN"/>
        </w:rPr>
        <w:t>（21件），其中18件举报为通过互联网渠道接收。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3B5EA2"/>
          <w:sz w:val="32"/>
          <w:szCs w:val="32"/>
          <w:lang w:eastAsia="zh-CN"/>
        </w:rPr>
        <w:drawing>
          <wp:anchor distT="0" distB="0" distL="114300" distR="114300" simplePos="0" relativeHeight="251661312" behindDoc="0" locked="0" layoutInCell="1" allowOverlap="1">
            <wp:simplePos x="0" y="0"/>
            <wp:positionH relativeFrom="column">
              <wp:posOffset>262890</wp:posOffset>
            </wp:positionH>
            <wp:positionV relativeFrom="paragraph">
              <wp:posOffset>72390</wp:posOffset>
            </wp:positionV>
            <wp:extent cx="4962525" cy="3632835"/>
            <wp:effectExtent l="0" t="0" r="9525" b="43815"/>
            <wp:wrapNone/>
            <wp:docPr id="9" name="图表 9" descr="7b0a202020202263686172745265734964223a202232303437323230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rPr>
          <w:rFonts w:hint="eastAsia" w:ascii="仿宋" w:hAnsi="仿宋" w:eastAsia="仿宋" w:cs="仿宋"/>
          <w:color w:val="auto"/>
          <w:sz w:val="32"/>
          <w:szCs w:val="32"/>
        </w:rPr>
      </w:pP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3" w:leftChars="0" w:right="0" w:firstLine="643" w:firstLineChars="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b/>
          <w:bCs/>
          <w:color w:val="auto"/>
          <w:sz w:val="32"/>
          <w:szCs w:val="32"/>
          <w:lang w:eastAsia="zh-CN"/>
        </w:rPr>
        <w:t>举报问题热点分析</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Style w:val="12"/>
          <w:rFonts w:hint="eastAsia" w:ascii="仿宋" w:hAnsi="仿宋" w:eastAsia="仿宋" w:cs="仿宋"/>
          <w:b w:val="0"/>
          <w:bCs/>
          <w:sz w:val="32"/>
          <w:szCs w:val="32"/>
          <w:lang w:eastAsia="zh-CN"/>
        </w:rPr>
      </w:pPr>
      <w:r>
        <w:rPr>
          <w:rFonts w:hint="eastAsia" w:ascii="仿宋" w:hAnsi="仿宋" w:eastAsia="仿宋" w:cs="仿宋"/>
          <w:b w:val="0"/>
          <w:bCs w:val="0"/>
          <w:kern w:val="0"/>
          <w:sz w:val="32"/>
          <w:szCs w:val="32"/>
          <w:lang w:val="en-US" w:eastAsia="zh-CN" w:bidi="ar"/>
        </w:rPr>
        <w:t>1.</w:t>
      </w:r>
      <w:r>
        <w:rPr>
          <w:rFonts w:hint="eastAsia" w:ascii="仿宋" w:hAnsi="仿宋" w:eastAsia="仿宋" w:cs="仿宋"/>
          <w:b w:val="0"/>
          <w:bCs w:val="0"/>
          <w:sz w:val="32"/>
          <w:szCs w:val="32"/>
          <w:lang w:eastAsia="zh-CN"/>
        </w:rPr>
        <w:t>广告违法行为举报量持续上升。据历年数据显示，</w:t>
      </w:r>
      <w:r>
        <w:rPr>
          <w:rFonts w:hint="eastAsia" w:ascii="仿宋" w:hAnsi="仿宋" w:eastAsia="仿宋" w:cs="仿宋"/>
          <w:b w:val="0"/>
          <w:bCs w:val="0"/>
          <w:sz w:val="32"/>
          <w:szCs w:val="32"/>
          <w:lang w:val="en-US" w:eastAsia="zh-CN"/>
        </w:rPr>
        <w:t>广告违法行为一直为举报热点，2024年数据达到峰值，多为疑似职业索赔人在网上自行发起。</w:t>
      </w:r>
      <w:r>
        <w:rPr>
          <w:rFonts w:hint="eastAsia" w:ascii="仿宋" w:hAnsi="仿宋" w:eastAsia="仿宋" w:cs="仿宋"/>
          <w:sz w:val="32"/>
          <w:szCs w:val="32"/>
          <w:lang w:eastAsia="zh-CN"/>
        </w:rPr>
        <w:t>主要涉及网销的产品经营者在网络电商平台上发布了具有误导消费者广告语的</w:t>
      </w:r>
      <w:r>
        <w:rPr>
          <w:rStyle w:val="12"/>
          <w:rFonts w:hint="eastAsia" w:ascii="仿宋" w:hAnsi="仿宋" w:eastAsia="仿宋" w:cs="仿宋"/>
          <w:b w:val="0"/>
          <w:bCs/>
          <w:sz w:val="32"/>
          <w:szCs w:val="32"/>
          <w:lang w:eastAsia="zh-CN"/>
        </w:rPr>
        <w:t>行为。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Style w:val="12"/>
          <w:rFonts w:hint="eastAsia" w:ascii="仿宋" w:hAnsi="仿宋" w:eastAsia="仿宋" w:cs="仿宋"/>
          <w:b w:val="0"/>
          <w:bCs/>
          <w:sz w:val="32"/>
          <w:szCs w:val="32"/>
          <w:lang w:eastAsia="zh-CN"/>
        </w:rPr>
      </w:pPr>
      <w:r>
        <w:rPr>
          <w:rFonts w:hint="eastAsia" w:ascii="仿宋" w:hAnsi="仿宋" w:eastAsia="仿宋" w:cs="仿宋"/>
          <w:b w:val="0"/>
          <w:bCs w:val="0"/>
          <w:sz w:val="32"/>
          <w:szCs w:val="32"/>
          <w:lang w:val="en-US" w:eastAsia="zh-CN"/>
        </w:rPr>
        <w:t>2.</w:t>
      </w:r>
      <w:r>
        <w:rPr>
          <w:rStyle w:val="12"/>
          <w:rFonts w:hint="eastAsia" w:ascii="仿宋" w:hAnsi="仿宋" w:eastAsia="仿宋" w:cs="仿宋"/>
          <w:b w:val="0"/>
          <w:bCs w:val="0"/>
          <w:sz w:val="32"/>
          <w:szCs w:val="32"/>
          <w:lang w:val="en-US" w:eastAsia="zh-CN"/>
        </w:rPr>
        <w:t>食品安全违法行为热度不减。主要反映消费者</w:t>
      </w:r>
      <w:r>
        <w:rPr>
          <w:rStyle w:val="12"/>
          <w:rFonts w:hint="eastAsia" w:ascii="仿宋" w:hAnsi="仿宋" w:eastAsia="仿宋" w:cs="仿宋"/>
          <w:b w:val="0"/>
          <w:bCs w:val="0"/>
          <w:sz w:val="32"/>
          <w:szCs w:val="32"/>
          <w:lang w:eastAsia="zh-CN"/>
        </w:rPr>
        <w:t>在</w:t>
      </w:r>
      <w:r>
        <w:rPr>
          <w:rStyle w:val="12"/>
          <w:rFonts w:hint="eastAsia" w:ascii="仿宋" w:hAnsi="仿宋" w:eastAsia="仿宋" w:cs="仿宋"/>
          <w:b w:val="0"/>
          <w:bCs/>
          <w:sz w:val="32"/>
          <w:szCs w:val="32"/>
          <w:lang w:eastAsia="zh-CN"/>
        </w:rPr>
        <w:t>网络平台上销售的食品标签与实际含量不符、营业执照上没有上不含“冷食类食品制售”而制作凉菜、餐饮单位卫生不合格等。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Style w:val="12"/>
          <w:rFonts w:hint="eastAsia" w:ascii="仿宋" w:hAnsi="仿宋" w:eastAsia="仿宋" w:cs="仿宋"/>
          <w:b w:val="0"/>
          <w:bCs/>
          <w:sz w:val="32"/>
          <w:szCs w:val="32"/>
          <w:lang w:eastAsia="zh-CN"/>
        </w:rPr>
      </w:pPr>
      <w:r>
        <w:rPr>
          <w:rStyle w:val="12"/>
          <w:rFonts w:hint="eastAsia" w:ascii="仿宋" w:hAnsi="仿宋" w:eastAsia="仿宋" w:cs="仿宋"/>
          <w:b w:val="0"/>
          <w:bCs/>
          <w:sz w:val="32"/>
          <w:szCs w:val="32"/>
          <w:lang w:val="en-US" w:eastAsia="zh-CN"/>
        </w:rPr>
        <w:t>3.</w:t>
      </w:r>
      <w:r>
        <w:rPr>
          <w:rStyle w:val="12"/>
          <w:rFonts w:hint="eastAsia" w:ascii="仿宋" w:hAnsi="仿宋" w:eastAsia="仿宋" w:cs="仿宋"/>
          <w:b w:val="0"/>
          <w:bCs/>
          <w:sz w:val="32"/>
          <w:szCs w:val="32"/>
          <w:lang w:eastAsia="zh-CN"/>
        </w:rPr>
        <w:t>不正当竞争行为成为新焦点</w:t>
      </w:r>
      <w:r>
        <w:rPr>
          <w:rStyle w:val="12"/>
          <w:rFonts w:hint="eastAsia" w:ascii="仿宋" w:hAnsi="仿宋" w:eastAsia="仿宋" w:cs="仿宋"/>
          <w:b w:val="0"/>
          <w:bCs/>
          <w:sz w:val="32"/>
          <w:szCs w:val="32"/>
          <w:lang w:val="en-US" w:eastAsia="zh-CN"/>
        </w:rPr>
        <w:t>:</w:t>
      </w:r>
      <w:r>
        <w:rPr>
          <w:rStyle w:val="12"/>
          <w:rFonts w:hint="eastAsia" w:ascii="仿宋" w:hAnsi="仿宋" w:eastAsia="仿宋" w:cs="仿宋"/>
          <w:b w:val="0"/>
          <w:bCs/>
          <w:sz w:val="32"/>
          <w:szCs w:val="32"/>
          <w:lang w:eastAsia="zh-CN"/>
        </w:rPr>
        <w:t>多为疑似职业索赔人反映网络销售平台上的商家存在虚假宣传行为，商品首页的广告宣传语存在误导行为。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（三）职业索赔现象依法规制事项</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据全国</w:t>
      </w:r>
      <w:r>
        <w:rPr>
          <w:rFonts w:hint="eastAsia" w:ascii="仿宋" w:hAnsi="仿宋" w:eastAsia="仿宋" w:cs="仿宋"/>
          <w:b w:val="0"/>
          <w:bCs w:val="0"/>
          <w:color w:val="auto"/>
          <w:sz w:val="32"/>
          <w:szCs w:val="32"/>
          <w:lang w:val="en-US" w:eastAsia="zh-CN"/>
        </w:rPr>
        <w:t>12315平台数据显示，</w:t>
      </w:r>
      <w:r>
        <w:rPr>
          <w:rFonts w:hint="eastAsia" w:ascii="仿宋" w:hAnsi="仿宋" w:eastAsia="仿宋" w:cs="仿宋"/>
          <w:b w:val="0"/>
          <w:bCs w:val="0"/>
          <w:color w:val="auto"/>
          <w:sz w:val="32"/>
          <w:szCs w:val="32"/>
          <w:lang w:eastAsia="zh-CN"/>
        </w:rPr>
        <w:t>近五年来，“以打假之名，行牟利之实”的恶意投诉举报数量居高不下。特别是在举报领域，接收的举报信息呈现专业化、规模化、团伙化、程式化特征和趋势，甚至将之作为敲诈勒索市场主体的手段，严重扰乱市场正常生产经营秩序，大量挤占有限的行政资源和司法资源。为持续优化营商环境，规范市场监管领域投诉举报行为。</w:t>
      </w:r>
      <w:bookmarkStart w:id="0" w:name="_GoBack"/>
      <w:bookmarkEnd w:id="0"/>
      <w:r>
        <w:rPr>
          <w:rFonts w:hint="eastAsia" w:ascii="仿宋" w:hAnsi="仿宋" w:eastAsia="仿宋" w:cs="仿宋"/>
          <w:b w:val="0"/>
          <w:bCs w:val="0"/>
          <w:color w:val="auto"/>
          <w:sz w:val="32"/>
          <w:szCs w:val="32"/>
          <w:lang w:eastAsia="zh-CN"/>
        </w:rPr>
        <w:t>近日，伊春市市场监督管理局、市中级人民法院、市检察院、市公安局、市司法局、市信访局、市营商局、市委网信办八部门联合印发《关于依法规范市场监管领域投诉举报行为持续优化营商环境的指导意见》（以下简称《意见》）。</w:t>
      </w:r>
      <w:r>
        <w:rPr>
          <w:rFonts w:hint="eastAsia" w:ascii="仿宋" w:hAnsi="仿宋" w:eastAsia="仿宋" w:cs="仿宋"/>
          <w:b w:val="0"/>
          <w:bCs w:val="0"/>
          <w:color w:val="auto"/>
          <w:sz w:val="32"/>
          <w:szCs w:val="32"/>
          <w:lang w:val="en-US" w:eastAsia="zh-CN"/>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意见》的出台，有助于区分真打假、职业索赔和敲诈勒索，公正处理案件，回应社会关切。同时，对提振消费和经营信心，促进市场主体健康发展，同等保护消费者和经营主体的合法权益，在法律框架内为市场主体的发展营造更宽松的环境都有着积极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textAlignment w:val="auto"/>
        <w:rPr>
          <w:rFonts w:hint="eastAsia" w:ascii="黑体" w:hAnsi="黑体" w:eastAsia="黑体" w:cs="黑体"/>
          <w:sz w:val="32"/>
          <w:szCs w:val="32"/>
          <w:lang w:eastAsia="zh-CN"/>
        </w:rPr>
      </w:pPr>
      <w:r>
        <w:rPr>
          <w:rStyle w:val="12"/>
          <w:rFonts w:hint="eastAsia" w:ascii="黑体" w:hAnsi="黑体" w:eastAsia="黑体" w:cs="黑体"/>
          <w:sz w:val="32"/>
          <w:szCs w:val="32"/>
          <w:lang w:eastAsia="zh-CN"/>
        </w:rPr>
        <w:t>四、</w:t>
      </w:r>
      <w:r>
        <w:rPr>
          <w:rStyle w:val="12"/>
          <w:rFonts w:hint="eastAsia" w:ascii="黑体" w:hAnsi="黑体" w:eastAsia="黑体" w:cs="黑体"/>
          <w:sz w:val="32"/>
          <w:szCs w:val="32"/>
        </w:rPr>
        <w:t>咨询</w:t>
      </w:r>
      <w:r>
        <w:rPr>
          <w:rStyle w:val="12"/>
          <w:rFonts w:hint="eastAsia" w:ascii="黑体" w:hAnsi="黑体" w:eastAsia="黑体" w:cs="黑体"/>
          <w:sz w:val="32"/>
          <w:szCs w:val="32"/>
          <w:lang w:eastAsia="zh-CN"/>
        </w:rPr>
        <w:t>情况分析</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2024年三季度话务平台</w:t>
      </w:r>
      <w:r>
        <w:rPr>
          <w:rFonts w:hint="eastAsia" w:ascii="仿宋" w:hAnsi="仿宋" w:eastAsia="仿宋" w:cs="仿宋"/>
          <w:sz w:val="32"/>
          <w:szCs w:val="32"/>
        </w:rPr>
        <w:t>共接</w:t>
      </w:r>
      <w:r>
        <w:rPr>
          <w:rFonts w:hint="eastAsia" w:ascii="仿宋" w:hAnsi="仿宋" w:eastAsia="仿宋" w:cs="仿宋"/>
          <w:sz w:val="32"/>
          <w:szCs w:val="32"/>
          <w:lang w:eastAsia="zh-CN"/>
        </w:rPr>
        <w:t>收</w:t>
      </w:r>
      <w:r>
        <w:rPr>
          <w:rFonts w:hint="eastAsia" w:ascii="仿宋" w:hAnsi="仿宋" w:eastAsia="仿宋" w:cs="仿宋"/>
          <w:sz w:val="32"/>
          <w:szCs w:val="32"/>
        </w:rPr>
        <w:t>消费者咨询</w:t>
      </w:r>
      <w:r>
        <w:rPr>
          <w:rFonts w:hint="eastAsia" w:ascii="仿宋" w:hAnsi="仿宋" w:eastAsia="仿宋" w:cs="仿宋"/>
          <w:sz w:val="32"/>
          <w:szCs w:val="32"/>
          <w:lang w:eastAsia="zh-CN"/>
        </w:rPr>
        <w:t>热线</w:t>
      </w:r>
      <w:r>
        <w:rPr>
          <w:rFonts w:hint="eastAsia" w:ascii="仿宋" w:hAnsi="仿宋" w:eastAsia="仿宋" w:cs="仿宋"/>
          <w:sz w:val="32"/>
          <w:szCs w:val="32"/>
          <w:lang w:val="en-US" w:eastAsia="zh-CN"/>
        </w:rPr>
        <w:t>1667</w:t>
      </w:r>
      <w:r>
        <w:rPr>
          <w:rFonts w:hint="eastAsia" w:ascii="仿宋" w:hAnsi="仿宋" w:eastAsia="仿宋" w:cs="仿宋"/>
          <w:sz w:val="32"/>
          <w:szCs w:val="32"/>
        </w:rPr>
        <w:t>件，</w:t>
      </w:r>
      <w:r>
        <w:rPr>
          <w:rFonts w:hint="eastAsia" w:ascii="仿宋" w:hAnsi="仿宋" w:eastAsia="仿宋" w:cs="仿宋"/>
          <w:sz w:val="32"/>
          <w:szCs w:val="32"/>
          <w:lang w:eastAsia="zh-CN"/>
        </w:rPr>
        <w:t>较去年同期下降</w:t>
      </w:r>
      <w:r>
        <w:rPr>
          <w:rFonts w:hint="eastAsia" w:ascii="仿宋" w:hAnsi="仿宋" w:eastAsia="仿宋" w:cs="仿宋"/>
          <w:sz w:val="32"/>
          <w:szCs w:val="32"/>
          <w:lang w:val="en-US" w:eastAsia="zh-CN"/>
        </w:rPr>
        <w:t xml:space="preserve">51.17%。咨询量较2023年同期降幅明显，分析原因为12345政务服务热线将市场监管热线12315的选键取消后，市民误拨现象大幅减少。  </w:t>
      </w:r>
    </w:p>
    <w:p>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0" w:firstLineChars="0"/>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eastAsia="zh-CN"/>
        </w:rPr>
        <w:t>市场监管系统咨询</w:t>
      </w:r>
      <w:r>
        <w:rPr>
          <w:rFonts w:hint="eastAsia" w:ascii="楷体" w:hAnsi="楷体" w:eastAsia="楷体" w:cs="楷体"/>
          <w:b/>
          <w:bCs/>
          <w:sz w:val="32"/>
          <w:szCs w:val="32"/>
          <w:lang w:val="en-US" w:eastAsia="zh-CN"/>
        </w:rPr>
        <w:t>22件</w:t>
      </w:r>
      <w:r>
        <w:rPr>
          <w:rFonts w:hint="eastAsia" w:ascii="仿宋" w:hAnsi="仿宋" w:eastAsia="仿宋" w:cs="仿宋"/>
          <w:sz w:val="32"/>
          <w:szCs w:val="32"/>
          <w:lang w:val="en-US" w:eastAsia="zh-CN"/>
        </w:rPr>
        <w:t>，占比1.32%。问题主要涉及：市场主体登记注册19件、特种设备2件、其他1件。</w:t>
      </w:r>
    </w:p>
    <w:p>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法律法规咨询</w:t>
      </w:r>
      <w:r>
        <w:rPr>
          <w:rFonts w:hint="eastAsia" w:ascii="楷体" w:hAnsi="楷体" w:eastAsia="楷体" w:cs="楷体"/>
          <w:b/>
          <w:bCs/>
          <w:color w:val="auto"/>
          <w:sz w:val="32"/>
          <w:szCs w:val="32"/>
          <w:lang w:val="en-US" w:eastAsia="zh-CN"/>
        </w:rPr>
        <w:t>593</w:t>
      </w:r>
      <w:r>
        <w:rPr>
          <w:rFonts w:hint="eastAsia" w:ascii="楷体" w:hAnsi="楷体" w:eastAsia="楷体" w:cs="楷体"/>
          <w:b/>
          <w:bCs/>
          <w:sz w:val="32"/>
          <w:szCs w:val="32"/>
          <w:lang w:val="en-US" w:eastAsia="zh-CN"/>
        </w:rPr>
        <w:t>件</w:t>
      </w:r>
      <w:r>
        <w:rPr>
          <w:rFonts w:hint="eastAsia" w:ascii="仿宋" w:hAnsi="仿宋" w:eastAsia="仿宋" w:cs="仿宋"/>
          <w:sz w:val="32"/>
          <w:szCs w:val="32"/>
          <w:lang w:val="en-US" w:eastAsia="zh-CN"/>
        </w:rPr>
        <w:t>，占比35.57%。主要涉及网购商品出现质量时如何投诉，其他地区的投诉举报热线如何拨打等问题。</w:t>
      </w:r>
    </w:p>
    <w:p>
      <w:pPr>
        <w:keepNext w:val="0"/>
        <w:keepLines w:val="0"/>
        <w:pageBreakBefore w:val="0"/>
        <w:numPr>
          <w:ilvl w:val="0"/>
          <w:numId w:val="5"/>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微软雅黑" w:hAnsi="微软雅黑" w:eastAsia="微软雅黑" w:cs="微软雅黑"/>
          <w:i w:val="0"/>
          <w:iCs w:val="0"/>
          <w:caps w:val="0"/>
          <w:color w:val="000000"/>
          <w:spacing w:val="15"/>
          <w:sz w:val="27"/>
          <w:szCs w:val="27"/>
          <w:shd w:val="clear" w:fill="FFFFFF"/>
          <w:lang w:eastAsia="zh-CN"/>
        </w:rPr>
      </w:pPr>
      <w:r>
        <w:rPr>
          <w:rFonts w:hint="eastAsia" w:ascii="楷体" w:hAnsi="楷体" w:eastAsia="楷体" w:cs="楷体"/>
          <w:b/>
          <w:bCs/>
          <w:sz w:val="32"/>
          <w:szCs w:val="32"/>
          <w:lang w:val="en-US" w:eastAsia="zh-CN"/>
        </w:rPr>
        <w:t>非市场监管系统咨询</w:t>
      </w:r>
      <w:r>
        <w:rPr>
          <w:rFonts w:hint="eastAsia" w:ascii="楷体" w:hAnsi="楷体" w:eastAsia="楷体" w:cs="楷体"/>
          <w:b/>
          <w:bCs/>
          <w:color w:val="auto"/>
          <w:sz w:val="32"/>
          <w:szCs w:val="32"/>
          <w:lang w:val="en-US" w:eastAsia="zh-CN"/>
        </w:rPr>
        <w:t>1052</w:t>
      </w:r>
      <w:r>
        <w:rPr>
          <w:rFonts w:hint="eastAsia" w:ascii="楷体" w:hAnsi="楷体" w:eastAsia="楷体" w:cs="楷体"/>
          <w:b/>
          <w:bCs/>
          <w:sz w:val="32"/>
          <w:szCs w:val="32"/>
          <w:lang w:val="en-US" w:eastAsia="zh-CN"/>
        </w:rPr>
        <w:t>件</w:t>
      </w:r>
      <w:r>
        <w:rPr>
          <w:rFonts w:hint="eastAsia" w:ascii="仿宋" w:hAnsi="仿宋" w:eastAsia="仿宋" w:cs="仿宋"/>
          <w:sz w:val="32"/>
          <w:szCs w:val="32"/>
          <w:lang w:val="en-US" w:eastAsia="zh-CN"/>
        </w:rPr>
        <w:t>，占比63.11%。主要涉及住建、卫健、银保、房产、公安、劳动、医保、税务、邮政等部门</w:t>
      </w:r>
      <w:r>
        <w:rPr>
          <w:rFonts w:hint="eastAsia" w:ascii="仿宋" w:hAnsi="仿宋" w:eastAsia="仿宋" w:cs="仿宋"/>
          <w:color w:val="auto"/>
          <w:sz w:val="32"/>
          <w:szCs w:val="32"/>
          <w:lang w:val="en-US" w:eastAsia="zh-CN"/>
        </w:rPr>
        <w:t xml:space="preserve">。 </w:t>
      </w: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eastAsia" w:ascii="仿宋" w:hAnsi="仿宋" w:eastAsia="仿宋" w:cs="仿宋"/>
          <w:color w:val="auto"/>
          <w:sz w:val="32"/>
          <w:szCs w:val="32"/>
          <w:lang w:val="en-US" w:eastAsia="zh-CN"/>
        </w:rPr>
      </w:pPr>
    </w:p>
    <w:p>
      <w:pPr>
        <w:pStyle w:val="2"/>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旗黑-55简">
    <w:altName w:val="黑体"/>
    <w:panose1 w:val="00020600040101010101"/>
    <w:charset w:val="80"/>
    <w:family w:val="auto"/>
    <w:pitch w:val="default"/>
    <w:sig w:usb0="00000000" w:usb1="00000000" w:usb2="00000000" w:usb3="00000000" w:csb0="00000000" w:csb1="00000000"/>
  </w:font>
  <w:font w:name="Arial">
    <w:panose1 w:val="020B0604020202020204"/>
    <w:charset w:val="00"/>
    <w:family w:val=""/>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F9475"/>
    <w:multiLevelType w:val="singleLevel"/>
    <w:tmpl w:val="ACFF9475"/>
    <w:lvl w:ilvl="0" w:tentative="0">
      <w:start w:val="1"/>
      <w:numFmt w:val="decimal"/>
      <w:suff w:val="nothing"/>
      <w:lvlText w:val="%1、"/>
      <w:lvlJc w:val="left"/>
      <w:rPr>
        <w:rFonts w:hint="default" w:ascii="楷体" w:hAnsi="楷体" w:eastAsia="楷体" w:cs="楷体"/>
        <w:b/>
        <w:bCs/>
      </w:rPr>
    </w:lvl>
  </w:abstractNum>
  <w:abstractNum w:abstractNumId="1">
    <w:nsid w:val="BBBEB4EE"/>
    <w:multiLevelType w:val="singleLevel"/>
    <w:tmpl w:val="BBBEB4EE"/>
    <w:lvl w:ilvl="0" w:tentative="0">
      <w:start w:val="1"/>
      <w:numFmt w:val="chineseCounting"/>
      <w:suff w:val="nothing"/>
      <w:lvlText w:val="（%1）"/>
      <w:lvlJc w:val="left"/>
      <w:pPr>
        <w:ind w:left="0" w:firstLine="420"/>
      </w:pPr>
      <w:rPr>
        <w:rFonts w:hint="eastAsia" w:ascii="楷体" w:hAnsi="楷体" w:eastAsia="楷体" w:cs="楷体"/>
        <w:b/>
        <w:bCs/>
      </w:rPr>
    </w:lvl>
  </w:abstractNum>
  <w:abstractNum w:abstractNumId="2">
    <w:nsid w:val="F7791AFE"/>
    <w:multiLevelType w:val="singleLevel"/>
    <w:tmpl w:val="F7791AFE"/>
    <w:lvl w:ilvl="0" w:tentative="0">
      <w:start w:val="1"/>
      <w:numFmt w:val="chineseCounting"/>
      <w:suff w:val="nothing"/>
      <w:lvlText w:val="（%1）"/>
      <w:lvlJc w:val="left"/>
      <w:pPr>
        <w:ind w:left="-13"/>
      </w:pPr>
      <w:rPr>
        <w:rFonts w:hint="eastAsia" w:ascii="楷体" w:hAnsi="楷体" w:eastAsia="楷体" w:cs="楷体"/>
        <w:b/>
        <w:bCs/>
      </w:rPr>
    </w:lvl>
  </w:abstractNum>
  <w:abstractNum w:abstractNumId="3">
    <w:nsid w:val="40572634"/>
    <w:multiLevelType w:val="singleLevel"/>
    <w:tmpl w:val="40572634"/>
    <w:lvl w:ilvl="0" w:tentative="0">
      <w:start w:val="2"/>
      <w:numFmt w:val="chineseCounting"/>
      <w:suff w:val="nothing"/>
      <w:lvlText w:val="（%1）"/>
      <w:lvlJc w:val="left"/>
      <w:rPr>
        <w:rFonts w:hint="eastAsia"/>
      </w:rPr>
    </w:lvl>
  </w:abstractNum>
  <w:abstractNum w:abstractNumId="4">
    <w:nsid w:val="5E89114C"/>
    <w:multiLevelType w:val="singleLevel"/>
    <w:tmpl w:val="5E89114C"/>
    <w:lvl w:ilvl="0" w:tentative="0">
      <w:start w:val="1"/>
      <w:numFmt w:val="chineseCounting"/>
      <w:suff w:val="nothing"/>
      <w:lvlText w:val="%1、"/>
      <w:lvlJc w:val="left"/>
      <w:rPr>
        <w:rFonts w:hint="eastAsia" w:ascii="黑体" w:hAnsi="黑体" w:eastAsia="黑体" w:cs="黑体"/>
        <w:sz w:val="32"/>
        <w:szCs w:val="32"/>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NTFmZDQ5ZjI4YmVhMDAwZTVlOWVlOWNjOWY2OTMifQ=="/>
  </w:docVars>
  <w:rsids>
    <w:rsidRoot w:val="00000000"/>
    <w:rsid w:val="001B7D3F"/>
    <w:rsid w:val="00C100B7"/>
    <w:rsid w:val="010B6B5E"/>
    <w:rsid w:val="01745305"/>
    <w:rsid w:val="01CF1E11"/>
    <w:rsid w:val="02346988"/>
    <w:rsid w:val="03117995"/>
    <w:rsid w:val="033E071B"/>
    <w:rsid w:val="03595555"/>
    <w:rsid w:val="0455289B"/>
    <w:rsid w:val="04600973"/>
    <w:rsid w:val="04AB4620"/>
    <w:rsid w:val="04AC7907"/>
    <w:rsid w:val="05256A12"/>
    <w:rsid w:val="0527179F"/>
    <w:rsid w:val="05D92ECD"/>
    <w:rsid w:val="05F257ED"/>
    <w:rsid w:val="05FE60AA"/>
    <w:rsid w:val="06233BF8"/>
    <w:rsid w:val="063578F3"/>
    <w:rsid w:val="06DF3581"/>
    <w:rsid w:val="070967BA"/>
    <w:rsid w:val="079B4A80"/>
    <w:rsid w:val="07A229F3"/>
    <w:rsid w:val="07EA70C4"/>
    <w:rsid w:val="08183C31"/>
    <w:rsid w:val="08913120"/>
    <w:rsid w:val="09F75AC8"/>
    <w:rsid w:val="0A0F4BBF"/>
    <w:rsid w:val="0A7113D6"/>
    <w:rsid w:val="0AD96E8A"/>
    <w:rsid w:val="0AD96F7B"/>
    <w:rsid w:val="0B4F3AD6"/>
    <w:rsid w:val="0B7733EF"/>
    <w:rsid w:val="0B9A7A75"/>
    <w:rsid w:val="0C0369A6"/>
    <w:rsid w:val="0C1E0A6B"/>
    <w:rsid w:val="0C594942"/>
    <w:rsid w:val="0C6B35A1"/>
    <w:rsid w:val="0D314830"/>
    <w:rsid w:val="0DF476ED"/>
    <w:rsid w:val="0E4A266A"/>
    <w:rsid w:val="0E6E0C1A"/>
    <w:rsid w:val="0E98447E"/>
    <w:rsid w:val="0F910C46"/>
    <w:rsid w:val="0FA61B22"/>
    <w:rsid w:val="11621A79"/>
    <w:rsid w:val="1189484A"/>
    <w:rsid w:val="120F5F51"/>
    <w:rsid w:val="12383EA0"/>
    <w:rsid w:val="13DE6F6C"/>
    <w:rsid w:val="14077DCC"/>
    <w:rsid w:val="14131750"/>
    <w:rsid w:val="146A5D45"/>
    <w:rsid w:val="1475102E"/>
    <w:rsid w:val="159744A7"/>
    <w:rsid w:val="15B47F79"/>
    <w:rsid w:val="15D0750A"/>
    <w:rsid w:val="162E0AC3"/>
    <w:rsid w:val="16C25D3C"/>
    <w:rsid w:val="16DE1BA1"/>
    <w:rsid w:val="16E045DB"/>
    <w:rsid w:val="176F4EEF"/>
    <w:rsid w:val="1775328A"/>
    <w:rsid w:val="1832454A"/>
    <w:rsid w:val="184D185B"/>
    <w:rsid w:val="199E7D0E"/>
    <w:rsid w:val="19F56590"/>
    <w:rsid w:val="1A700D7D"/>
    <w:rsid w:val="1BA86435"/>
    <w:rsid w:val="1BDE3FA1"/>
    <w:rsid w:val="1C7A3B38"/>
    <w:rsid w:val="1C89626E"/>
    <w:rsid w:val="1D37451A"/>
    <w:rsid w:val="1D5A6BE7"/>
    <w:rsid w:val="1D933B8B"/>
    <w:rsid w:val="1DE60B52"/>
    <w:rsid w:val="1E094E90"/>
    <w:rsid w:val="1E6905F2"/>
    <w:rsid w:val="1E786010"/>
    <w:rsid w:val="1E7D6144"/>
    <w:rsid w:val="1E803C99"/>
    <w:rsid w:val="1F187CA2"/>
    <w:rsid w:val="1F745799"/>
    <w:rsid w:val="1F866FA5"/>
    <w:rsid w:val="1F9C6A9E"/>
    <w:rsid w:val="1FB81B34"/>
    <w:rsid w:val="20403D28"/>
    <w:rsid w:val="20C11A4B"/>
    <w:rsid w:val="214B42D7"/>
    <w:rsid w:val="21E15472"/>
    <w:rsid w:val="223A0FCF"/>
    <w:rsid w:val="22B10AB2"/>
    <w:rsid w:val="22C205C9"/>
    <w:rsid w:val="22F46A22"/>
    <w:rsid w:val="23495022"/>
    <w:rsid w:val="236615F7"/>
    <w:rsid w:val="237A63C1"/>
    <w:rsid w:val="24D062BB"/>
    <w:rsid w:val="253B0B07"/>
    <w:rsid w:val="25445C0D"/>
    <w:rsid w:val="25A93CC2"/>
    <w:rsid w:val="25B616F4"/>
    <w:rsid w:val="25EF3DCB"/>
    <w:rsid w:val="26123616"/>
    <w:rsid w:val="268C786C"/>
    <w:rsid w:val="26F00C5D"/>
    <w:rsid w:val="270A69E3"/>
    <w:rsid w:val="271A002E"/>
    <w:rsid w:val="277C67AA"/>
    <w:rsid w:val="27B84691"/>
    <w:rsid w:val="27E411F0"/>
    <w:rsid w:val="28022180"/>
    <w:rsid w:val="28244A31"/>
    <w:rsid w:val="28546167"/>
    <w:rsid w:val="28B05368"/>
    <w:rsid w:val="290F02E0"/>
    <w:rsid w:val="290F104A"/>
    <w:rsid w:val="292560E2"/>
    <w:rsid w:val="299E30C7"/>
    <w:rsid w:val="29A339FC"/>
    <w:rsid w:val="2A604F0E"/>
    <w:rsid w:val="2A6308E4"/>
    <w:rsid w:val="2B2C7062"/>
    <w:rsid w:val="2B41674B"/>
    <w:rsid w:val="2BBF0CD8"/>
    <w:rsid w:val="2BC83FDD"/>
    <w:rsid w:val="2BE9265E"/>
    <w:rsid w:val="2BF33EE9"/>
    <w:rsid w:val="2C8A1BFD"/>
    <w:rsid w:val="2CE54F10"/>
    <w:rsid w:val="2D545A45"/>
    <w:rsid w:val="2DC668B8"/>
    <w:rsid w:val="2E0E500A"/>
    <w:rsid w:val="2E400F3C"/>
    <w:rsid w:val="2ECC4926"/>
    <w:rsid w:val="302669CB"/>
    <w:rsid w:val="3071362F"/>
    <w:rsid w:val="30FF08F0"/>
    <w:rsid w:val="316E47C7"/>
    <w:rsid w:val="31B77767"/>
    <w:rsid w:val="31DB16A7"/>
    <w:rsid w:val="31F77CF3"/>
    <w:rsid w:val="31FF5865"/>
    <w:rsid w:val="32492CC9"/>
    <w:rsid w:val="3407106E"/>
    <w:rsid w:val="34A843EE"/>
    <w:rsid w:val="34BD4F0D"/>
    <w:rsid w:val="35140C0F"/>
    <w:rsid w:val="35633E8E"/>
    <w:rsid w:val="357B75B4"/>
    <w:rsid w:val="362A5774"/>
    <w:rsid w:val="363766AB"/>
    <w:rsid w:val="36391E14"/>
    <w:rsid w:val="36D52B69"/>
    <w:rsid w:val="375A5759"/>
    <w:rsid w:val="37781747"/>
    <w:rsid w:val="37FE30D2"/>
    <w:rsid w:val="38210B37"/>
    <w:rsid w:val="389D76B7"/>
    <w:rsid w:val="38FB262F"/>
    <w:rsid w:val="39186D3D"/>
    <w:rsid w:val="39276F80"/>
    <w:rsid w:val="39290F4A"/>
    <w:rsid w:val="39774617"/>
    <w:rsid w:val="3A297440"/>
    <w:rsid w:val="3A33321D"/>
    <w:rsid w:val="3B567FF1"/>
    <w:rsid w:val="3BB422D1"/>
    <w:rsid w:val="3C460DBF"/>
    <w:rsid w:val="3CD70CBD"/>
    <w:rsid w:val="3CF7604A"/>
    <w:rsid w:val="3D306081"/>
    <w:rsid w:val="3DB51F08"/>
    <w:rsid w:val="3E30750E"/>
    <w:rsid w:val="3E6842C3"/>
    <w:rsid w:val="3E9E2408"/>
    <w:rsid w:val="3F096297"/>
    <w:rsid w:val="3F19736B"/>
    <w:rsid w:val="3F6525B0"/>
    <w:rsid w:val="3FBB1032"/>
    <w:rsid w:val="401A15ED"/>
    <w:rsid w:val="410E6CBE"/>
    <w:rsid w:val="41816CFA"/>
    <w:rsid w:val="420E33D3"/>
    <w:rsid w:val="429E663A"/>
    <w:rsid w:val="435C574A"/>
    <w:rsid w:val="4385286A"/>
    <w:rsid w:val="43A07E09"/>
    <w:rsid w:val="44020D16"/>
    <w:rsid w:val="445D56FC"/>
    <w:rsid w:val="44D06B35"/>
    <w:rsid w:val="44EC5C48"/>
    <w:rsid w:val="4512563C"/>
    <w:rsid w:val="4519611C"/>
    <w:rsid w:val="45F64766"/>
    <w:rsid w:val="46293F7E"/>
    <w:rsid w:val="465824C2"/>
    <w:rsid w:val="46710C9E"/>
    <w:rsid w:val="46753A21"/>
    <w:rsid w:val="467E2390"/>
    <w:rsid w:val="46940EBC"/>
    <w:rsid w:val="47240FA3"/>
    <w:rsid w:val="47ED3A8B"/>
    <w:rsid w:val="48036E0A"/>
    <w:rsid w:val="480904B1"/>
    <w:rsid w:val="4921579A"/>
    <w:rsid w:val="4993054F"/>
    <w:rsid w:val="49CF3D92"/>
    <w:rsid w:val="49F50BEF"/>
    <w:rsid w:val="49F91731"/>
    <w:rsid w:val="4A161077"/>
    <w:rsid w:val="4A214F21"/>
    <w:rsid w:val="4AE20F59"/>
    <w:rsid w:val="4B876180"/>
    <w:rsid w:val="4C6D0CF6"/>
    <w:rsid w:val="4C92048F"/>
    <w:rsid w:val="4CC930FA"/>
    <w:rsid w:val="4D171CEC"/>
    <w:rsid w:val="4D5A3970"/>
    <w:rsid w:val="4EBE3A8B"/>
    <w:rsid w:val="4EF50D99"/>
    <w:rsid w:val="503500A5"/>
    <w:rsid w:val="51075488"/>
    <w:rsid w:val="514230C5"/>
    <w:rsid w:val="51BB160E"/>
    <w:rsid w:val="51BC4751"/>
    <w:rsid w:val="51C2646A"/>
    <w:rsid w:val="51F737D0"/>
    <w:rsid w:val="52163F05"/>
    <w:rsid w:val="526A2243"/>
    <w:rsid w:val="52BC3D1A"/>
    <w:rsid w:val="53852DC9"/>
    <w:rsid w:val="53B93DCC"/>
    <w:rsid w:val="53E774F6"/>
    <w:rsid w:val="54724115"/>
    <w:rsid w:val="54945634"/>
    <w:rsid w:val="549E264E"/>
    <w:rsid w:val="55E2217D"/>
    <w:rsid w:val="561F5757"/>
    <w:rsid w:val="56860EB4"/>
    <w:rsid w:val="571D6CF2"/>
    <w:rsid w:val="57366AA1"/>
    <w:rsid w:val="57D305A7"/>
    <w:rsid w:val="580C3AB9"/>
    <w:rsid w:val="583D64CD"/>
    <w:rsid w:val="58C748F1"/>
    <w:rsid w:val="593261B9"/>
    <w:rsid w:val="59633BAD"/>
    <w:rsid w:val="59734C29"/>
    <w:rsid w:val="59E9544C"/>
    <w:rsid w:val="5A274CD8"/>
    <w:rsid w:val="5AAF60D9"/>
    <w:rsid w:val="5AFE0BE4"/>
    <w:rsid w:val="5B070103"/>
    <w:rsid w:val="5B2F2CD1"/>
    <w:rsid w:val="5BB16E51"/>
    <w:rsid w:val="5BBC1352"/>
    <w:rsid w:val="5CFB5A19"/>
    <w:rsid w:val="5D1E23AB"/>
    <w:rsid w:val="5D380EAD"/>
    <w:rsid w:val="5D530B60"/>
    <w:rsid w:val="5D801493"/>
    <w:rsid w:val="5DB449D7"/>
    <w:rsid w:val="5E171565"/>
    <w:rsid w:val="5EA717D0"/>
    <w:rsid w:val="5EA97545"/>
    <w:rsid w:val="5EB97A53"/>
    <w:rsid w:val="5F01308D"/>
    <w:rsid w:val="5F1603ED"/>
    <w:rsid w:val="5F5C70D4"/>
    <w:rsid w:val="5F7D16F0"/>
    <w:rsid w:val="5FEA7D3E"/>
    <w:rsid w:val="602F7491"/>
    <w:rsid w:val="60344B00"/>
    <w:rsid w:val="605C5C52"/>
    <w:rsid w:val="6068709D"/>
    <w:rsid w:val="60DE0679"/>
    <w:rsid w:val="6176677D"/>
    <w:rsid w:val="61BE5E24"/>
    <w:rsid w:val="622439A6"/>
    <w:rsid w:val="6252656D"/>
    <w:rsid w:val="62586279"/>
    <w:rsid w:val="62A768B8"/>
    <w:rsid w:val="62AE40F9"/>
    <w:rsid w:val="62C746D1"/>
    <w:rsid w:val="62CF5305"/>
    <w:rsid w:val="634E4EEA"/>
    <w:rsid w:val="63A819E4"/>
    <w:rsid w:val="63D23FA5"/>
    <w:rsid w:val="644E28B8"/>
    <w:rsid w:val="64AD7237"/>
    <w:rsid w:val="655752BF"/>
    <w:rsid w:val="65E27413"/>
    <w:rsid w:val="66544FA9"/>
    <w:rsid w:val="666D1BC7"/>
    <w:rsid w:val="66E246C7"/>
    <w:rsid w:val="67195574"/>
    <w:rsid w:val="672F3320"/>
    <w:rsid w:val="674D7F78"/>
    <w:rsid w:val="67C02889"/>
    <w:rsid w:val="67D16185"/>
    <w:rsid w:val="68264723"/>
    <w:rsid w:val="68282249"/>
    <w:rsid w:val="68522DA9"/>
    <w:rsid w:val="6914753F"/>
    <w:rsid w:val="69AD2FC0"/>
    <w:rsid w:val="6A6D13BF"/>
    <w:rsid w:val="6AAC798E"/>
    <w:rsid w:val="6AC33B77"/>
    <w:rsid w:val="6AC35A86"/>
    <w:rsid w:val="6ADF7A87"/>
    <w:rsid w:val="6AE961F2"/>
    <w:rsid w:val="6B5643C1"/>
    <w:rsid w:val="6B632124"/>
    <w:rsid w:val="6BCC4D22"/>
    <w:rsid w:val="6C417D7E"/>
    <w:rsid w:val="6CBC5B71"/>
    <w:rsid w:val="6CD93941"/>
    <w:rsid w:val="6CEE4BEB"/>
    <w:rsid w:val="6D255409"/>
    <w:rsid w:val="6D2B36AE"/>
    <w:rsid w:val="6D5B6C1D"/>
    <w:rsid w:val="6DFB3F5C"/>
    <w:rsid w:val="6E085F11"/>
    <w:rsid w:val="6E66587A"/>
    <w:rsid w:val="6E8E6B7E"/>
    <w:rsid w:val="6EA72B6C"/>
    <w:rsid w:val="6EF410D7"/>
    <w:rsid w:val="6F48314B"/>
    <w:rsid w:val="70057D42"/>
    <w:rsid w:val="70C46DB9"/>
    <w:rsid w:val="7144058C"/>
    <w:rsid w:val="71A5388A"/>
    <w:rsid w:val="71AF4C00"/>
    <w:rsid w:val="72323CC5"/>
    <w:rsid w:val="725873C0"/>
    <w:rsid w:val="727774C2"/>
    <w:rsid w:val="72EE0533"/>
    <w:rsid w:val="740C6EC3"/>
    <w:rsid w:val="74844CAB"/>
    <w:rsid w:val="756572DB"/>
    <w:rsid w:val="75D27C98"/>
    <w:rsid w:val="75FD4045"/>
    <w:rsid w:val="763B647A"/>
    <w:rsid w:val="765C57B4"/>
    <w:rsid w:val="768172E5"/>
    <w:rsid w:val="768216BE"/>
    <w:rsid w:val="76DF5548"/>
    <w:rsid w:val="776A376D"/>
    <w:rsid w:val="78372663"/>
    <w:rsid w:val="78941215"/>
    <w:rsid w:val="78A342B3"/>
    <w:rsid w:val="78AA1EA6"/>
    <w:rsid w:val="78AF42C1"/>
    <w:rsid w:val="79282A4F"/>
    <w:rsid w:val="79B17BC5"/>
    <w:rsid w:val="79D53FE2"/>
    <w:rsid w:val="7A441E15"/>
    <w:rsid w:val="7A6D61E2"/>
    <w:rsid w:val="7B042025"/>
    <w:rsid w:val="7B1D7C08"/>
    <w:rsid w:val="7B20605F"/>
    <w:rsid w:val="7B47460F"/>
    <w:rsid w:val="7BAC57D1"/>
    <w:rsid w:val="7BB51BEE"/>
    <w:rsid w:val="7BF57E3A"/>
    <w:rsid w:val="7C0E7550"/>
    <w:rsid w:val="7C28616D"/>
    <w:rsid w:val="7C534D14"/>
    <w:rsid w:val="7CE033CC"/>
    <w:rsid w:val="7D3A7514"/>
    <w:rsid w:val="7D410485"/>
    <w:rsid w:val="7DC13E48"/>
    <w:rsid w:val="7E123328"/>
    <w:rsid w:val="7E4B4A8C"/>
    <w:rsid w:val="7EC87E8B"/>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
    <w:pPr>
      <w:keepNext/>
      <w:keepLines/>
      <w:spacing w:before="260" w:after="260" w:line="416" w:lineRule="auto"/>
      <w:outlineLvl w:val="1"/>
    </w:pPr>
    <w:rPr>
      <w:rFonts w:ascii="Cambria" w:hAnsi="Cambria" w:cs="黑体"/>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6" Type="http://schemas.microsoft.com/office/2011/relationships/chartColorStyle" Target="colors5.xml"/><Relationship Id="rId5" Type="http://schemas.microsoft.com/office/2011/relationships/chartStyle" Target="style5.xml"/><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7" Type="http://schemas.microsoft.com/office/2011/relationships/chartColorStyle" Target="colors2.xml"/><Relationship Id="rId6" Type="http://schemas.microsoft.com/office/2011/relationships/chartStyle" Target="style2.xml"/><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image" Target="../media/image1.png"/><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500" b="1" i="0" u="none" strike="noStrike" kern="1200" spc="0" baseline="0">
                <a:ln w="0" cmpd="sng">
                  <a:noFill/>
                  <a:prstDash val="solid"/>
                </a:ln>
                <a:solidFill>
                  <a:srgbClr val="7775C9"/>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r>
              <a:rPr sz="1400"/>
              <a:t>图</a:t>
            </a:r>
            <a:r>
              <a:rPr lang="en-US" altLang="zh-CN" sz="1400"/>
              <a:t>1</a:t>
            </a:r>
            <a:r>
              <a:rPr altLang="en-US" sz="1400"/>
              <a:t>：</a:t>
            </a:r>
            <a:r>
              <a:rPr sz="1400"/>
              <a:t>2023年、2024年第三季度受理量对比图</a:t>
            </a:r>
            <a:r>
              <a:rPr sz="1200"/>
              <a:t>（单位：件）</a:t>
            </a:r>
            <a:endParaRPr sz="1400"/>
          </a:p>
          <a:p>
            <a:pPr defTabSz="914400">
              <a:defRPr lang="zh-CN" sz="1500" b="1" i="0" u="none" strike="noStrike" kern="1200" spc="0" baseline="0">
                <a:ln w="0" cmpd="sng">
                  <a:noFill/>
                  <a:prstDash val="solid"/>
                </a:ln>
                <a:solidFill>
                  <a:srgbClr val="7775C9"/>
                </a:solidFill>
                <a:effectLst/>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endParaRPr sz="1400"/>
          </a:p>
        </c:rich>
      </c:tx>
      <c:layout>
        <c:manualLayout>
          <c:xMode val="edge"/>
          <c:yMode val="edge"/>
          <c:x val="0.14044176381844"/>
          <c:y val="0.00595120015869867"/>
        </c:manualLayout>
      </c:layout>
      <c:overlay val="0"/>
      <c:spPr>
        <a:noFill/>
        <a:ln>
          <a:noFill/>
        </a:ln>
        <a:effectLst/>
      </c:spPr>
    </c:title>
    <c:autoTitleDeleted val="0"/>
    <c:plotArea>
      <c:layout>
        <c:manualLayout>
          <c:layoutTarget val="inner"/>
          <c:xMode val="edge"/>
          <c:yMode val="edge"/>
          <c:x val="0.265975391498881"/>
          <c:y val="0.182678158503258"/>
          <c:w val="0.617190156599552"/>
          <c:h val="0.487450073575783"/>
        </c:manualLayout>
      </c:layout>
      <c:barChart>
        <c:barDir val="col"/>
        <c:grouping val="clustered"/>
        <c:varyColors val="0"/>
        <c:ser>
          <c:idx val="0"/>
          <c:order val="0"/>
          <c:tx>
            <c:strRef>
              <c:f>Sheet1!$B$1</c:f>
              <c:strCache>
                <c:ptCount val="1"/>
                <c:pt idx="0">
                  <c:v>2023年
第三季度</c:v>
                </c:pt>
              </c:strCache>
            </c:strRef>
          </c:tx>
          <c:spPr>
            <a:blipFill rotWithShape="1">
              <a:blip xmlns:r="http://schemas.openxmlformats.org/officeDocument/2006/relationships" r:embed="rId3"/>
              <a:stretch>
                <a:fillRect/>
              </a:stretch>
            </a:blipFill>
            <a:ln>
              <a:noFill/>
            </a:ln>
            <a:effectLst>
              <a:outerShdw blurRad="76200" dir="18900000" sy="23000" kx="-1200000" algn="bl" rotWithShape="0">
                <a:sysClr val="windowText" lastClr="000000">
                  <a:lumMod val="75000"/>
                  <a:lumOff val="25000"/>
                  <a:alpha val="20000"/>
                </a:sysClr>
              </a:outerShdw>
            </a:effectLst>
          </c:spPr>
          <c:invertIfNegative val="0"/>
          <c:dLbls>
            <c:delete val="1"/>
          </c:dLbls>
          <c:cat>
            <c:strRef>
              <c:f>Sheet1!$A$2:$A$5</c:f>
              <c:strCache>
                <c:ptCount val="4"/>
                <c:pt idx="0">
                  <c:v>受理总量</c:v>
                </c:pt>
                <c:pt idx="1">
                  <c:v>投诉</c:v>
                </c:pt>
                <c:pt idx="2">
                  <c:v>咨询</c:v>
                </c:pt>
                <c:pt idx="3">
                  <c:v>举报</c:v>
                </c:pt>
              </c:strCache>
            </c:strRef>
          </c:cat>
          <c:val>
            <c:numRef>
              <c:f>Sheet1!$B$2:$B$5</c:f>
              <c:numCache>
                <c:formatCode>General</c:formatCode>
                <c:ptCount val="4"/>
                <c:pt idx="0">
                  <c:v>4026</c:v>
                </c:pt>
                <c:pt idx="1">
                  <c:v>444</c:v>
                </c:pt>
                <c:pt idx="2">
                  <c:v>3414</c:v>
                </c:pt>
                <c:pt idx="3">
                  <c:v>168</c:v>
                </c:pt>
              </c:numCache>
            </c:numRef>
          </c:val>
        </c:ser>
        <c:ser>
          <c:idx val="1"/>
          <c:order val="1"/>
          <c:tx>
            <c:strRef>
              <c:f>Sheet1!$C$1</c:f>
              <c:strCache>
                <c:ptCount val="1"/>
                <c:pt idx="0">
                  <c:v>2024年
第三季度</c:v>
                </c:pt>
              </c:strCache>
            </c:strRef>
          </c:tx>
          <c:spPr>
            <a:blipFill rotWithShape="1">
              <a:blip xmlns:r="http://schemas.openxmlformats.org/officeDocument/2006/relationships" r:embed="rId4"/>
              <a:stretch>
                <a:fillRect/>
              </a:stretch>
            </a:blipFill>
            <a:ln>
              <a:noFill/>
            </a:ln>
            <a:effectLst>
              <a:outerShdw blurRad="76200" dir="18900000" sy="23000" kx="-1200000" algn="bl" rotWithShape="0">
                <a:sysClr val="windowText" lastClr="000000">
                  <a:lumMod val="75000"/>
                  <a:lumOff val="25000"/>
                  <a:alpha val="20000"/>
                </a:sysClr>
              </a:outerShdw>
            </a:effectLst>
          </c:spPr>
          <c:invertIfNegative val="0"/>
          <c:dLbls>
            <c:delete val="1"/>
          </c:dLbls>
          <c:cat>
            <c:strRef>
              <c:f>Sheet1!$A$2:$A$5</c:f>
              <c:strCache>
                <c:ptCount val="4"/>
                <c:pt idx="0">
                  <c:v>受理总量</c:v>
                </c:pt>
                <c:pt idx="1">
                  <c:v>投诉</c:v>
                </c:pt>
                <c:pt idx="2">
                  <c:v>咨询</c:v>
                </c:pt>
                <c:pt idx="3">
                  <c:v>举报</c:v>
                </c:pt>
              </c:strCache>
            </c:strRef>
          </c:cat>
          <c:val>
            <c:numRef>
              <c:f>Sheet1!$C$2:$C$5</c:f>
              <c:numCache>
                <c:formatCode>General</c:formatCode>
                <c:ptCount val="4"/>
                <c:pt idx="0">
                  <c:v>2432</c:v>
                </c:pt>
                <c:pt idx="1">
                  <c:v>555</c:v>
                </c:pt>
                <c:pt idx="2">
                  <c:v>1667</c:v>
                </c:pt>
                <c:pt idx="3">
                  <c:v>210</c:v>
                </c:pt>
              </c:numCache>
            </c:numRef>
          </c:val>
        </c:ser>
        <c:dLbls>
          <c:showLegendKey val="0"/>
          <c:showVal val="0"/>
          <c:showCatName val="0"/>
          <c:showSerName val="0"/>
          <c:showPercent val="0"/>
          <c:showBubbleSize val="0"/>
        </c:dLbls>
        <c:gapWidth val="184"/>
        <c:overlap val="-27"/>
        <c:axId val="249484365"/>
        <c:axId val="125907979"/>
      </c:barChart>
      <c:lineChart>
        <c:grouping val="standard"/>
        <c:varyColors val="0"/>
        <c:ser>
          <c:idx val="2"/>
          <c:order val="2"/>
          <c:tx>
            <c:strRef>
              <c:f>Sheet1!$D$1</c:f>
              <c:strCache>
                <c:ptCount val="1"/>
                <c:pt idx="0">
                  <c:v>同比</c:v>
                </c:pt>
              </c:strCache>
            </c:strRef>
          </c:tx>
          <c:spPr>
            <a:ln w="28575" cap="rnd">
              <a:solidFill>
                <a:srgbClr val="00B050"/>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受理总量</c:v>
                </c:pt>
                <c:pt idx="1">
                  <c:v>投诉</c:v>
                </c:pt>
                <c:pt idx="2">
                  <c:v>咨询</c:v>
                </c:pt>
                <c:pt idx="3">
                  <c:v>举报</c:v>
                </c:pt>
              </c:strCache>
            </c:strRef>
          </c:cat>
          <c:val>
            <c:numRef>
              <c:f>Sheet1!$D$2:$D$5</c:f>
              <c:numCache>
                <c:formatCode>0.00%</c:formatCode>
                <c:ptCount val="4"/>
                <c:pt idx="0">
                  <c:v>-0.395926477893691</c:v>
                </c:pt>
                <c:pt idx="1">
                  <c:v>0.25</c:v>
                </c:pt>
                <c:pt idx="2">
                  <c:v>-0.511716461628588</c:v>
                </c:pt>
                <c:pt idx="3">
                  <c:v>0.25</c:v>
                </c:pt>
              </c:numCache>
            </c:numRef>
          </c:val>
          <c:smooth val="0"/>
        </c:ser>
        <c:dLbls>
          <c:showLegendKey val="0"/>
          <c:showVal val="0"/>
          <c:showCatName val="0"/>
          <c:showSerName val="0"/>
          <c:showPercent val="0"/>
          <c:showBubbleSize val="0"/>
        </c:dLbls>
        <c:marker val="0"/>
        <c:smooth val="0"/>
        <c:axId val="203693859"/>
        <c:axId val="789836756"/>
      </c:lineChart>
      <c:catAx>
        <c:axId val="249484365"/>
        <c:scaling>
          <c:orientation val="minMax"/>
        </c:scaling>
        <c:delete val="0"/>
        <c:axPos val="b"/>
        <c:numFmt formatCode="General" sourceLinked="1"/>
        <c:majorTickMark val="out"/>
        <c:minorTickMark val="none"/>
        <c:tickLblPos val="nextTo"/>
        <c:spPr>
          <a:noFill/>
          <a:ln w="9525" cap="flat" cmpd="sng" algn="ctr">
            <a:solidFill>
              <a:sysClr val="window" lastClr="FFFFFF">
                <a:lumMod val="85000"/>
              </a:sys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bg1">
                    <a:lumMod val="65000"/>
                  </a:schemeClr>
                </a:solidFill>
                <a:uFill>
                  <a:solidFill>
                    <a:schemeClr val="tx1">
                      <a:lumMod val="65000"/>
                      <a:lumOff val="35000"/>
                    </a:schemeClr>
                  </a:solidFill>
                </a:u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125907979"/>
        <c:crosses val="autoZero"/>
        <c:auto val="1"/>
        <c:lblAlgn val="ctr"/>
        <c:lblOffset val="100"/>
        <c:noMultiLvlLbl val="0"/>
      </c:catAx>
      <c:valAx>
        <c:axId val="125907979"/>
        <c:scaling>
          <c:orientation val="minMax"/>
        </c:scaling>
        <c:delete val="0"/>
        <c:axPos val="l"/>
        <c:majorGridlines>
          <c:spPr>
            <a:ln w="0" cap="flat" cmpd="sng" algn="ctr">
              <a:solidFill>
                <a:sysClr val="window" lastClr="FFFFFF">
                  <a:lumMod val="95000"/>
                </a:sysClr>
              </a:solidFill>
              <a:prstDash val="solid"/>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bg1">
                    <a:lumMod val="65000"/>
                  </a:schemeClr>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249484365"/>
        <c:crosses val="autoZero"/>
        <c:crossBetween val="between"/>
      </c:valAx>
      <c:catAx>
        <c:axId val="203693859"/>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789836756"/>
        <c:crosses val="autoZero"/>
        <c:auto val="1"/>
        <c:lblAlgn val="ctr"/>
        <c:lblOffset val="100"/>
        <c:noMultiLvlLbl val="0"/>
      </c:catAx>
      <c:valAx>
        <c:axId val="789836756"/>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crossAx val="203693859"/>
        <c:crosses val="max"/>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dTable>
      <c:spPr>
        <a:noFill/>
        <a:ln>
          <a:noFill/>
        </a:ln>
        <a:effectLst/>
      </c:spPr>
    </c:plotArea>
    <c:plotVisOnly val="1"/>
    <c:dispBlanksAs val="gap"/>
    <c:showDLblsOverMax val="0"/>
  </c:chart>
  <c:spPr>
    <a:solidFill>
      <a:sysClr val="window" lastClr="FFFFFF"/>
    </a:solidFill>
    <a:ln w="12700" cap="flat" cmpd="sng" algn="ctr">
      <a:noFill/>
      <a:round/>
    </a:ln>
    <a:effectLst/>
  </c:spPr>
  <c:txPr>
    <a:bodyPr/>
    <a:lstStyle/>
    <a:p>
      <a:pPr>
        <a:defRPr lang="zh-CN">
          <a:solidFill>
            <a:srgbClr val="616161"/>
          </a:solidFill>
          <a:latin typeface="汉仪旗黑-55简" panose="00020600040101010101" charset="-128"/>
          <a:ea typeface="汉仪旗黑-55简" panose="00020600040101010101" charset="-128"/>
          <a:cs typeface="汉仪旗黑-55简" panose="00020600040101010101" charset="-128"/>
          <a:sym typeface="汉仪旗黑-55简" panose="00020600040101010101" charset="-128"/>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200"/>
              <a:t>图</a:t>
            </a:r>
            <a:r>
              <a:rPr lang="en-US" altLang="zh-CN" sz="1200"/>
              <a:t>2</a:t>
            </a:r>
            <a:r>
              <a:rPr altLang="en-US" sz="1200"/>
              <a:t>：区域分布图（单位：件）</a:t>
            </a:r>
            <a:endParaRPr altLang="en-US" sz="1200"/>
          </a:p>
        </c:rich>
      </c:tx>
      <c:layout/>
      <c:overlay val="0"/>
      <c:spPr>
        <a:noFill/>
        <a:ln>
          <a:noFill/>
        </a:ln>
        <a:effectLst/>
      </c:spPr>
    </c:title>
    <c:autoTitleDeleted val="0"/>
    <c:plotArea>
      <c:layout>
        <c:manualLayout>
          <c:layoutTarget val="inner"/>
          <c:xMode val="edge"/>
          <c:yMode val="edge"/>
          <c:x val="0.0437263867826044"/>
          <c:y val="0.146581196581197"/>
          <c:w val="0.947857771633237"/>
          <c:h val="0.627008547008547"/>
        </c:manualLayout>
      </c:layout>
      <c:barChart>
        <c:barDir val="col"/>
        <c:grouping val="clustered"/>
        <c:varyColors val="0"/>
        <c:ser>
          <c:idx val="0"/>
          <c:order val="0"/>
          <c:tx>
            <c:strRef>
              <c:f>Sheet1!$B$1</c:f>
              <c:strCache>
                <c:ptCount val="1"/>
                <c:pt idx="0">
                  <c:v>接收投诉量</c:v>
                </c:pt>
              </c:strCache>
            </c:strRef>
          </c:tx>
          <c:spPr>
            <a:blipFill rotWithShape="1">
              <a:blip xmlns:r="http://schemas.openxmlformats.org/officeDocument/2006/relationships" r:embed="rId3"/>
              <a:stretch>
                <a:fillRect/>
              </a:stretch>
            </a:blipFill>
            <a:ln>
              <a:noFill/>
            </a:ln>
            <a:effectLst>
              <a:outerShdw blurRad="76200" dist="12700" dir="8100000" sy="-23000" kx="800400" algn="br" rotWithShape="0">
                <a:prstClr val="black">
                  <a:alpha val="20000"/>
                </a:prstClr>
              </a:outerShdw>
            </a:effectLst>
          </c:spPr>
          <c:invertIfNegative val="0"/>
          <c:dLbls>
            <c:numFmt formatCode="General" sourceLinked="1"/>
            <c:spPr>
              <a:blipFill rotWithShape="1">
                <a:blip xmlns:r="http://schemas.openxmlformats.org/officeDocument/2006/relationships" r:embed="rId3"/>
                <a:stretch>
                  <a:fillRect/>
                </a:stretch>
              </a:blip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伊美分局</c:v>
                </c:pt>
                <c:pt idx="1">
                  <c:v>南岔县</c:v>
                </c:pt>
                <c:pt idx="2">
                  <c:v>友好分局</c:v>
                </c:pt>
                <c:pt idx="3">
                  <c:v>翠峦区</c:v>
                </c:pt>
                <c:pt idx="4">
                  <c:v>丰林县</c:v>
                </c:pt>
                <c:pt idx="5">
                  <c:v>金林分局</c:v>
                </c:pt>
                <c:pt idx="6">
                  <c:v>乌马河区</c:v>
                </c:pt>
                <c:pt idx="7">
                  <c:v>汤旺县</c:v>
                </c:pt>
                <c:pt idx="8">
                  <c:v>大箐山县</c:v>
                </c:pt>
                <c:pt idx="9">
                  <c:v>嘉荫县</c:v>
                </c:pt>
                <c:pt idx="10">
                  <c:v>铁力市</c:v>
                </c:pt>
                <c:pt idx="11">
                  <c:v>经济开发区</c:v>
                </c:pt>
              </c:strCache>
            </c:strRef>
          </c:cat>
          <c:val>
            <c:numRef>
              <c:f>Sheet1!$B$2:$B$13</c:f>
              <c:numCache>
                <c:formatCode>0_ </c:formatCode>
                <c:ptCount val="12"/>
                <c:pt idx="0">
                  <c:v>104</c:v>
                </c:pt>
                <c:pt idx="1">
                  <c:v>23</c:v>
                </c:pt>
                <c:pt idx="2">
                  <c:v>12</c:v>
                </c:pt>
                <c:pt idx="3">
                  <c:v>11</c:v>
                </c:pt>
                <c:pt idx="4">
                  <c:v>18</c:v>
                </c:pt>
                <c:pt idx="5">
                  <c:v>37</c:v>
                </c:pt>
                <c:pt idx="6">
                  <c:v>12</c:v>
                </c:pt>
                <c:pt idx="7">
                  <c:v>14</c:v>
                </c:pt>
                <c:pt idx="8">
                  <c:v>16</c:v>
                </c:pt>
                <c:pt idx="9">
                  <c:v>18</c:v>
                </c:pt>
                <c:pt idx="10">
                  <c:v>66</c:v>
                </c:pt>
                <c:pt idx="11">
                  <c:v>3</c:v>
                </c:pt>
              </c:numCache>
            </c:numRef>
          </c:val>
        </c:ser>
        <c:ser>
          <c:idx val="1"/>
          <c:order val="1"/>
          <c:tx>
            <c:strRef>
              <c:f>Sheet1!$C$1</c:f>
              <c:strCache>
                <c:ptCount val="1"/>
                <c:pt idx="0">
                  <c:v>接收举报量</c:v>
                </c:pt>
              </c:strCache>
            </c:strRef>
          </c:tx>
          <c:spPr>
            <a:blipFill rotWithShape="1">
              <a:blip xmlns:r="http://schemas.openxmlformats.org/officeDocument/2006/relationships" r:embed="rId4"/>
              <a:stretch>
                <a:fillRect/>
              </a:stretch>
            </a:blipFill>
            <a:ln>
              <a:noFill/>
            </a:ln>
            <a:effectLst/>
          </c:spPr>
          <c:invertIfNegative val="0"/>
          <c:dLbls>
            <c:numFmt formatCode="General" sourceLinked="1"/>
            <c:spPr>
              <a:blipFill rotWithShape="1">
                <a:blip xmlns:r="http://schemas.openxmlformats.org/officeDocument/2006/relationships" r:embed="rId4"/>
                <a:stretch>
                  <a:fillRect/>
                </a:stretch>
              </a:blipFill>
              <a:ln>
                <a:noFill/>
              </a:ln>
              <a:effectLst/>
            </c:spPr>
            <c:txPr>
              <a:bodyPr rot="0" spcFirstLastPara="0" vertOverflow="ellipsis" vert="horz" wrap="square" lIns="38100" tIns="19050" rIns="38100" bIns="19050" anchor="ctr" anchorCtr="1" forceAA="0"/>
              <a:lstStyle/>
              <a:p>
                <a:pPr>
                  <a:defRPr lang="zh-CN" sz="900" b="1" i="0" u="none" strike="noStrike" kern="1200" baseline="0">
                    <a:solidFill>
                      <a:schemeClr val="bg1"/>
                    </a:solidFill>
                    <a:latin typeface="Arial" panose="020B0604020202020204" pitchFamily="7" charset="0"/>
                    <a:ea typeface="Arial" panose="020B0604020202020204" pitchFamily="7" charset="0"/>
                    <a:cs typeface="Arial" panose="020B0604020202020204" pitchFamily="7" charset="0"/>
                    <a:sym typeface="Arial" panose="020B0604020202020204" pitchFamily="7"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伊美分局</c:v>
                </c:pt>
                <c:pt idx="1">
                  <c:v>南岔县</c:v>
                </c:pt>
                <c:pt idx="2">
                  <c:v>友好分局</c:v>
                </c:pt>
                <c:pt idx="3">
                  <c:v>翠峦区</c:v>
                </c:pt>
                <c:pt idx="4">
                  <c:v>丰林县</c:v>
                </c:pt>
                <c:pt idx="5">
                  <c:v>金林分局</c:v>
                </c:pt>
                <c:pt idx="6">
                  <c:v>乌马河区</c:v>
                </c:pt>
                <c:pt idx="7">
                  <c:v>汤旺县</c:v>
                </c:pt>
                <c:pt idx="8">
                  <c:v>大箐山县</c:v>
                </c:pt>
                <c:pt idx="9">
                  <c:v>嘉荫县</c:v>
                </c:pt>
                <c:pt idx="10">
                  <c:v>铁力市</c:v>
                </c:pt>
                <c:pt idx="11">
                  <c:v>经济开发区</c:v>
                </c:pt>
              </c:strCache>
            </c:strRef>
          </c:cat>
          <c:val>
            <c:numRef>
              <c:f>Sheet1!$C$2:$C$13</c:f>
              <c:numCache>
                <c:formatCode>0_ </c:formatCode>
                <c:ptCount val="12"/>
                <c:pt idx="0">
                  <c:v>56</c:v>
                </c:pt>
                <c:pt idx="1">
                  <c:v>7</c:v>
                </c:pt>
                <c:pt idx="2">
                  <c:v>7</c:v>
                </c:pt>
                <c:pt idx="3">
                  <c:v>6</c:v>
                </c:pt>
                <c:pt idx="4">
                  <c:v>10</c:v>
                </c:pt>
                <c:pt idx="5">
                  <c:v>5</c:v>
                </c:pt>
                <c:pt idx="6">
                  <c:v>4</c:v>
                </c:pt>
                <c:pt idx="7">
                  <c:v>14</c:v>
                </c:pt>
                <c:pt idx="8">
                  <c:v>16</c:v>
                </c:pt>
                <c:pt idx="9">
                  <c:v>6</c:v>
                </c:pt>
                <c:pt idx="10">
                  <c:v>36</c:v>
                </c:pt>
                <c:pt idx="11">
                  <c:v>2</c:v>
                </c:pt>
              </c:numCache>
            </c:numRef>
          </c:val>
        </c:ser>
        <c:dLbls>
          <c:showLegendKey val="0"/>
          <c:showVal val="1"/>
          <c:showCatName val="0"/>
          <c:showSerName val="0"/>
          <c:showPercent val="0"/>
          <c:showBubbleSize val="0"/>
        </c:dLbls>
        <c:gapWidth val="270"/>
        <c:overlap val="-24"/>
        <c:axId val="168755274"/>
        <c:axId val="655304092"/>
      </c:barChart>
      <c:catAx>
        <c:axId val="168755274"/>
        <c:scaling>
          <c:orientation val="minMax"/>
        </c:scaling>
        <c:delete val="0"/>
        <c:axPos val="b"/>
        <c:numFmt formatCode="General" sourceLinked="1"/>
        <c:majorTickMark val="out"/>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900" b="0" i="0" u="none" strike="noStrike" kern="1200" baseline="0">
                <a:solidFill>
                  <a:srgbClr val="6585C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55304092"/>
        <c:crosses val="autoZero"/>
        <c:auto val="1"/>
        <c:lblAlgn val="ctr"/>
        <c:lblOffset val="100"/>
        <c:noMultiLvlLbl val="0"/>
      </c:catAx>
      <c:valAx>
        <c:axId val="655304092"/>
        <c:scaling>
          <c:orientation val="minMax"/>
        </c:scaling>
        <c:delete val="1"/>
        <c:axPos val="l"/>
        <c:numFmt formatCode="0_ "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755274"/>
        <c:crosses val="autoZero"/>
        <c:crossBetween val="between"/>
      </c:valAx>
      <c:spPr>
        <a:blipFill rotWithShape="1">
          <a:blip xmlns:r="http://schemas.openxmlformats.org/officeDocument/2006/relationships" r:embed="rId5"/>
          <a:stretch>
            <a:fillRect/>
          </a:stretch>
        </a:blip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no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图3：投诉举报</a:t>
            </a:r>
            <a:r>
              <a:rPr lang="en-US" altLang="zh-CN"/>
              <a:t>TOP10</a:t>
            </a:r>
            <a:r>
              <a:rPr altLang="en-US"/>
              <a:t>企业（单位：件）</a:t>
            </a:r>
            <a:endParaRPr altLang="en-US"/>
          </a:p>
        </c:rich>
      </c:tx>
      <c:layout/>
      <c:overlay val="0"/>
      <c:spPr>
        <a:noFill/>
        <a:ln>
          <a:noFill/>
        </a:ln>
        <a:effectLst/>
      </c:spPr>
    </c:title>
    <c:autoTitleDeleted val="0"/>
    <c:plotArea>
      <c:layout>
        <c:manualLayout>
          <c:layoutTarget val="inner"/>
          <c:xMode val="edge"/>
          <c:yMode val="edge"/>
          <c:x val="0.450091096805539"/>
          <c:y val="0.174059991550486"/>
          <c:w val="0.546265030972914"/>
          <c:h val="0.818335445711872"/>
        </c:manualLayout>
      </c:layout>
      <c:barChart>
        <c:barDir val="bar"/>
        <c:grouping val="clustered"/>
        <c:varyColors val="0"/>
        <c:ser>
          <c:idx val="0"/>
          <c:order val="0"/>
          <c:tx>
            <c:strRef>
              <c:f>Sheet1!$B$1</c:f>
              <c:strCache>
                <c:ptCount val="1"/>
                <c:pt idx="0">
                  <c:v>投诉举报量</c:v>
                </c:pt>
              </c:strCache>
            </c:strRef>
          </c:tx>
          <c:spPr>
            <a:gradFill>
              <a:gsLst>
                <a:gs pos="0">
                  <a:schemeClr val="accent1">
                    <a:lumMod val="40000"/>
                    <a:lumOff val="60000"/>
                  </a:schemeClr>
                </a:gs>
                <a:gs pos="90000">
                  <a:schemeClr val="accent1"/>
                </a:gs>
              </a:gsLst>
              <a:lin ang="10800000" scaled="0"/>
            </a:gradFill>
            <a:ln>
              <a:gradFill>
                <a:gsLst>
                  <a:gs pos="0">
                    <a:schemeClr val="accent1"/>
                  </a:gs>
                  <a:gs pos="100000">
                    <a:schemeClr val="accent1">
                      <a:lumMod val="75000"/>
                    </a:schemeClr>
                  </a:gs>
                </a:gsLst>
                <a:lin ang="10800000" scaled="0"/>
              </a:gradFill>
            </a:ln>
            <a:effectLst>
              <a:outerShdw blurRad="76200" dist="25400" dir="2700000" algn="tl" rotWithShape="0">
                <a:schemeClr val="accent1">
                  <a:lumMod val="50000"/>
                  <a:alpha val="30000"/>
                </a:schemeClr>
              </a:outerShdw>
            </a:effectLst>
          </c:spPr>
          <c:invertIfNegative val="0"/>
          <c:dPt>
            <c:idx val="0"/>
            <c:invertIfNegative val="0"/>
            <c:bubble3D val="0"/>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伊春市乌马河区鑫亿家超市食品部</c:v>
                </c:pt>
                <c:pt idx="1">
                  <c:v>伊春市鑫旺山特产品开发有限公司</c:v>
                </c:pt>
                <c:pt idx="2">
                  <c:v>铁力市东国食品生产有限公司</c:v>
                </c:pt>
                <c:pt idx="3">
                  <c:v>伊春兆天生物科技有限公司</c:v>
                </c:pt>
                <c:pt idx="4">
                  <c:v>百惠（伊春市伊美区）超市（个体工商户）</c:v>
                </c:pt>
                <c:pt idx="5">
                  <c:v>伊春市悦鲜生商贸有限公司</c:v>
                </c:pt>
                <c:pt idx="6">
                  <c:v>伊春市越橘庄园升辉农贸市场有限公司</c:v>
                </c:pt>
                <c:pt idx="7">
                  <c:v>大商伊春百货大楼有限责任公司</c:v>
                </c:pt>
                <c:pt idx="8">
                  <c:v>铁力市耀轩电子商务有限公司</c:v>
                </c:pt>
                <c:pt idx="9">
                  <c:v>黑龙江省华辰超市连锁有限公司伊春分公司</c:v>
                </c:pt>
              </c:strCache>
            </c:strRef>
          </c:cat>
          <c:val>
            <c:numRef>
              <c:f>Sheet1!$B$2:$B$11</c:f>
              <c:numCache>
                <c:formatCode>General</c:formatCode>
                <c:ptCount val="10"/>
                <c:pt idx="0">
                  <c:v>5</c:v>
                </c:pt>
                <c:pt idx="1">
                  <c:v>5</c:v>
                </c:pt>
                <c:pt idx="2">
                  <c:v>6</c:v>
                </c:pt>
                <c:pt idx="3">
                  <c:v>7</c:v>
                </c:pt>
                <c:pt idx="4">
                  <c:v>7</c:v>
                </c:pt>
                <c:pt idx="5">
                  <c:v>7</c:v>
                </c:pt>
                <c:pt idx="6">
                  <c:v>7</c:v>
                </c:pt>
                <c:pt idx="7">
                  <c:v>8</c:v>
                </c:pt>
                <c:pt idx="8">
                  <c:v>9</c:v>
                </c:pt>
                <c:pt idx="9">
                  <c:v>17</c:v>
                </c:pt>
              </c:numCache>
            </c:numRef>
          </c:val>
        </c:ser>
        <c:dLbls>
          <c:showLegendKey val="0"/>
          <c:showVal val="1"/>
          <c:showCatName val="0"/>
          <c:showSerName val="0"/>
          <c:showPercent val="0"/>
          <c:showBubbleSize val="0"/>
        </c:dLbls>
        <c:gapWidth val="140"/>
        <c:overlap val="-40"/>
        <c:axId val="492268225"/>
        <c:axId val="214732896"/>
      </c:barChart>
      <c:catAx>
        <c:axId val="492268225"/>
        <c:scaling>
          <c:orientation val="minMax"/>
        </c:scaling>
        <c:delete val="0"/>
        <c:axPos val="l"/>
        <c:numFmt formatCode="General" sourceLinked="1"/>
        <c:majorTickMark val="out"/>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14732896"/>
        <c:crosses val="autoZero"/>
        <c:auto val="1"/>
        <c:lblAlgn val="ctr"/>
        <c:lblOffset val="100"/>
        <c:noMultiLvlLbl val="0"/>
      </c:catAx>
      <c:valAx>
        <c:axId val="214732896"/>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492268225"/>
        <c:crosses val="autoZero"/>
        <c:crossBetween val="between"/>
      </c:valAx>
      <c:spPr>
        <a:noFill/>
        <a:ln>
          <a:noFill/>
        </a:ln>
        <a:effectLst/>
      </c:spPr>
    </c:plotArea>
    <c:plotVisOnly val="1"/>
    <c:dispBlanksAs val="gap"/>
    <c:showDLblsOverMax val="0"/>
  </c:chart>
  <c:spPr>
    <a:solidFill>
      <a:schemeClr val="bg1"/>
    </a:solidFill>
    <a:ln w="6350" cap="flat" cmpd="sng" algn="ctr">
      <a:no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4</a:t>
            </a:r>
            <a:r>
              <a:rPr altLang="en-US"/>
              <a:t>：</a:t>
            </a:r>
            <a:r>
              <a:t>投诉两大客体类别对比（单位：件）</a:t>
            </a:r>
          </a:p>
        </c:rich>
      </c:tx>
      <c:layout>
        <c:manualLayout>
          <c:xMode val="edge"/>
          <c:yMode val="edge"/>
          <c:x val="0.166991372112441"/>
          <c:y val="0.0268636668905306"/>
        </c:manualLayout>
      </c:layout>
      <c:overlay val="0"/>
      <c:spPr>
        <a:noFill/>
        <a:ln>
          <a:noFill/>
        </a:ln>
        <a:effectLst/>
      </c:spPr>
    </c:title>
    <c:autoTitleDeleted val="0"/>
    <c:plotArea>
      <c:layout>
        <c:manualLayout>
          <c:layoutTarget val="inner"/>
          <c:xMode val="edge"/>
          <c:yMode val="edge"/>
          <c:x val="0.208794878931255"/>
          <c:y val="0.268812619910467"/>
          <c:w val="0.768939604787086"/>
          <c:h val="0.515497761671285"/>
        </c:manualLayout>
      </c:layout>
      <c:barChart>
        <c:barDir val="col"/>
        <c:grouping val="clustered"/>
        <c:varyColors val="0"/>
        <c:ser>
          <c:idx val="0"/>
          <c:order val="0"/>
          <c:tx>
            <c:strRef>
              <c:f>Sheet1!$B$1</c:f>
              <c:strCache>
                <c:ptCount val="1"/>
                <c:pt idx="0">
                  <c:v>2023年三季度</c:v>
                </c:pt>
              </c:strCache>
            </c:strRef>
          </c:tx>
          <c:spPr>
            <a:gradFill>
              <a:gsLst>
                <a:gs pos="0">
                  <a:schemeClr val="accent1">
                    <a:lumMod val="60000"/>
                    <a:lumOff val="40000"/>
                  </a:schemeClr>
                </a:gs>
                <a:gs pos="10000">
                  <a:schemeClr val="accent1">
                    <a:lumMod val="60000"/>
                    <a:lumOff val="40000"/>
                  </a:schemeClr>
                </a:gs>
                <a:gs pos="40000">
                  <a:schemeClr val="accent1">
                    <a:lumMod val="60000"/>
                    <a:lumOff val="40000"/>
                  </a:schemeClr>
                </a:gs>
                <a:gs pos="30000">
                  <a:schemeClr val="accent1">
                    <a:lumMod val="40000"/>
                    <a:lumOff val="60000"/>
                  </a:schemeClr>
                </a:gs>
                <a:gs pos="100000">
                  <a:schemeClr val="accent1">
                    <a:lumMod val="75000"/>
                    <a:alpha val="50000"/>
                  </a:schemeClr>
                </a:gs>
                <a:gs pos="90000">
                  <a:schemeClr val="accent1">
                    <a:lumMod val="75000"/>
                  </a:schemeClr>
                </a:gs>
              </a:gsLst>
              <a:lin ang="0" scaled="1"/>
            </a:gradFill>
            <a:ln>
              <a:noFill/>
            </a:ln>
            <a:effectLst/>
          </c:spPr>
          <c:invertIfNegative val="0"/>
          <c:dLbls>
            <c:dLbl>
              <c:idx val="0"/>
              <c:layout/>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商品类投诉</c:v>
                </c:pt>
                <c:pt idx="1">
                  <c:v>服务类投诉</c:v>
                </c:pt>
                <c:pt idx="2">
                  <c:v>投诉总量</c:v>
                </c:pt>
              </c:strCache>
            </c:strRef>
          </c:cat>
          <c:val>
            <c:numRef>
              <c:f>Sheet1!$B$2:$B$4</c:f>
              <c:numCache>
                <c:formatCode>General</c:formatCode>
                <c:ptCount val="3"/>
                <c:pt idx="0">
                  <c:v>303</c:v>
                </c:pt>
                <c:pt idx="1">
                  <c:v>141</c:v>
                </c:pt>
                <c:pt idx="2">
                  <c:v>444</c:v>
                </c:pt>
              </c:numCache>
            </c:numRef>
          </c:val>
        </c:ser>
        <c:ser>
          <c:idx val="1"/>
          <c:order val="1"/>
          <c:tx>
            <c:strRef>
              <c:f>Sheet1!$C$1</c:f>
              <c:strCache>
                <c:ptCount val="1"/>
                <c:pt idx="0">
                  <c:v>2024年三季度</c:v>
                </c:pt>
              </c:strCache>
            </c:strRef>
          </c:tx>
          <c:spPr>
            <a:gradFill>
              <a:gsLst>
                <a:gs pos="0">
                  <a:schemeClr val="accent2">
                    <a:lumMod val="60000"/>
                    <a:lumOff val="40000"/>
                  </a:schemeClr>
                </a:gs>
                <a:gs pos="10000">
                  <a:schemeClr val="accent2">
                    <a:lumMod val="60000"/>
                    <a:lumOff val="40000"/>
                  </a:schemeClr>
                </a:gs>
                <a:gs pos="40000">
                  <a:schemeClr val="accent2">
                    <a:lumMod val="60000"/>
                    <a:lumOff val="40000"/>
                  </a:schemeClr>
                </a:gs>
                <a:gs pos="26000">
                  <a:schemeClr val="accent2">
                    <a:lumMod val="40000"/>
                    <a:lumOff val="60000"/>
                  </a:schemeClr>
                </a:gs>
                <a:gs pos="90000">
                  <a:srgbClr val="ED8A27"/>
                </a:gs>
                <a:gs pos="100000">
                  <a:schemeClr val="accent2">
                    <a:lumMod val="75000"/>
                    <a:alpha val="50000"/>
                  </a:schemeClr>
                </a:gs>
              </a:gsLst>
              <a:lin ang="0" scaled="1"/>
            </a:gradFill>
            <a:ln>
              <a:noFill/>
            </a:ln>
            <a:effectLst/>
          </c:spPr>
          <c:invertIfNegative val="0"/>
          <c:dPt>
            <c:idx val="0"/>
            <c:invertIfNegative val="0"/>
            <c:bubble3D val="0"/>
            <c:spPr>
              <a:gradFill>
                <a:gsLst>
                  <a:gs pos="0">
                    <a:schemeClr val="accent2">
                      <a:lumMod val="60000"/>
                      <a:lumOff val="40000"/>
                    </a:schemeClr>
                  </a:gs>
                  <a:gs pos="10000">
                    <a:schemeClr val="accent2">
                      <a:lumMod val="60000"/>
                      <a:lumOff val="40000"/>
                    </a:schemeClr>
                  </a:gs>
                  <a:gs pos="40000">
                    <a:schemeClr val="accent2">
                      <a:lumMod val="60000"/>
                      <a:lumOff val="40000"/>
                    </a:schemeClr>
                  </a:gs>
                  <a:gs pos="26000">
                    <a:schemeClr val="accent2">
                      <a:lumMod val="40000"/>
                      <a:lumOff val="60000"/>
                    </a:schemeClr>
                  </a:gs>
                  <a:gs pos="90000">
                    <a:schemeClr val="accent2">
                      <a:lumMod val="75000"/>
                    </a:schemeClr>
                  </a:gs>
                  <a:gs pos="100000">
                    <a:schemeClr val="accent2">
                      <a:lumMod val="75000"/>
                      <a:alpha val="50000"/>
                    </a:schemeClr>
                  </a:gs>
                </a:gsLst>
                <a:lin ang="0" scaled="1"/>
              </a:gradFill>
              <a:ln>
                <a:noFill/>
              </a:ln>
              <a:effectLst/>
            </c:spPr>
          </c:dPt>
          <c:dLbls>
            <c:numFmt formatCode="General" sourceLinked="1"/>
            <c:spPr>
              <a:noFill/>
              <a:ln>
                <a:noFill/>
              </a:ln>
              <a:effectLst/>
            </c:spPr>
            <c:txPr>
              <a:bodyPr rot="0" spcFirstLastPara="0"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Sheet1!$A$2:$A$4</c:f>
              <c:strCache>
                <c:ptCount val="3"/>
                <c:pt idx="0">
                  <c:v>商品类投诉</c:v>
                </c:pt>
                <c:pt idx="1">
                  <c:v>服务类投诉</c:v>
                </c:pt>
                <c:pt idx="2">
                  <c:v>投诉总量</c:v>
                </c:pt>
              </c:strCache>
            </c:strRef>
          </c:cat>
          <c:val>
            <c:numRef>
              <c:f>Sheet1!$C$2:$C$4</c:f>
              <c:numCache>
                <c:formatCode>General</c:formatCode>
                <c:ptCount val="3"/>
                <c:pt idx="0">
                  <c:v>399</c:v>
                </c:pt>
                <c:pt idx="1">
                  <c:v>156</c:v>
                </c:pt>
                <c:pt idx="2">
                  <c:v>555</c:v>
                </c:pt>
              </c:numCache>
            </c:numRef>
          </c:val>
        </c:ser>
        <c:dLbls>
          <c:showLegendKey val="0"/>
          <c:showVal val="1"/>
          <c:showCatName val="0"/>
          <c:showSerName val="0"/>
          <c:showPercent val="0"/>
          <c:showBubbleSize val="0"/>
        </c:dLbls>
        <c:gapWidth val="219"/>
        <c:overlap val="-27"/>
        <c:axId val="870346562"/>
        <c:axId val="253844770"/>
      </c:barChart>
      <c:catAx>
        <c:axId val="870346562"/>
        <c:scaling>
          <c:orientation val="minMax"/>
        </c:scaling>
        <c:delete val="0"/>
        <c:axPos val="b"/>
        <c:majorGridlines>
          <c:spPr>
            <a:ln w="6350" cap="flat" cmpd="sng" algn="ctr">
              <a:noFill/>
              <a:round/>
            </a:ln>
            <a:effectLst/>
          </c:spPr>
        </c:majorGridlines>
        <c:numFmt formatCode="General" sourceLinked="1"/>
        <c:majorTickMark val="none"/>
        <c:minorTickMark val="none"/>
        <c:tickLblPos val="nextTo"/>
        <c:spPr>
          <a:noFill/>
          <a:ln w="6350"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253844770"/>
        <c:crosses val="autoZero"/>
        <c:auto val="1"/>
        <c:lblAlgn val="ctr"/>
        <c:lblOffset val="100"/>
        <c:noMultiLvlLbl val="0"/>
      </c:catAx>
      <c:valAx>
        <c:axId val="253844770"/>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34656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no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view3D>
      <c:rotX val="40"/>
      <c:rotY val="15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132512398779204"/>
          <c:y val="0.222473897672343"/>
          <c:w val="0.742811697051266"/>
          <c:h val="0.716344330678802"/>
        </c:manualLayout>
      </c:layout>
      <c:pie3DChart>
        <c:varyColors val="1"/>
        <c:ser>
          <c:idx val="0"/>
          <c:order val="0"/>
          <c:tx>
            <c:strRef>
              <c:f>Sheet1!$B$1</c:f>
              <c:strCache>
                <c:ptCount val="1"/>
                <c:pt idx="0">
                  <c:v>图5：三季度投诉按问题统计图（单位:件）</c:v>
                </c:pt>
              </c:strCache>
            </c:strRef>
          </c:tx>
          <c:spPr>
            <a:ln w="15875" cmpd="sng">
              <a:solidFill>
                <a:schemeClr val="bg1"/>
              </a:solidFill>
              <a:prstDash val="solid"/>
            </a:ln>
            <a:effectLst/>
            <a:scene3d>
              <a:camera prst="orthographicFront"/>
              <a:lightRig rig="threePt" dir="t"/>
            </a:scene3d>
            <a:sp3d contourW="15875" prstMaterial="flat"/>
          </c:spPr>
          <c:explosion val="3"/>
          <c:dPt>
            <c:idx val="0"/>
            <c:bubble3D val="0"/>
            <c:spPr>
              <a:solidFill>
                <a:schemeClr val="accent1">
                  <a:alpha val="90000"/>
                </a:schemeClr>
              </a:solidFill>
              <a:ln w="15875" cmpd="sng">
                <a:solidFill>
                  <a:schemeClr val="accent1">
                    <a:lumMod val="75000"/>
                  </a:schemeClr>
                </a:solidFill>
                <a:prstDash val="solid"/>
              </a:ln>
              <a:effectLst/>
              <a:scene3d>
                <a:camera prst="orthographicFront"/>
                <a:lightRig rig="threePt" dir="t"/>
              </a:scene3d>
              <a:sp3d contourW="15875" prstMaterial="flat"/>
            </c:spPr>
          </c:dPt>
          <c:dPt>
            <c:idx val="1"/>
            <c:bubble3D val="0"/>
            <c:spPr>
              <a:solidFill>
                <a:schemeClr val="accent2">
                  <a:alpha val="90000"/>
                </a:schemeClr>
              </a:solidFill>
              <a:ln w="15875" cmpd="sng">
                <a:solidFill>
                  <a:schemeClr val="accent2">
                    <a:lumMod val="75000"/>
                  </a:schemeClr>
                </a:solidFill>
                <a:prstDash val="solid"/>
              </a:ln>
              <a:effectLst/>
              <a:scene3d>
                <a:camera prst="orthographicFront"/>
                <a:lightRig rig="threePt" dir="t"/>
              </a:scene3d>
              <a:sp3d contourW="15875" prstMaterial="flat"/>
            </c:spPr>
          </c:dPt>
          <c:dPt>
            <c:idx val="2"/>
            <c:bubble3D val="0"/>
            <c:spPr>
              <a:solidFill>
                <a:schemeClr val="accent3">
                  <a:alpha val="90000"/>
                </a:schemeClr>
              </a:solidFill>
              <a:ln w="15875" cmpd="sng">
                <a:solidFill>
                  <a:schemeClr val="accent3">
                    <a:lumMod val="75000"/>
                  </a:schemeClr>
                </a:solidFill>
                <a:prstDash val="solid"/>
              </a:ln>
              <a:effectLst/>
              <a:scene3d>
                <a:camera prst="orthographicFront"/>
                <a:lightRig rig="threePt" dir="t"/>
              </a:scene3d>
              <a:sp3d contourW="15875" prstMaterial="flat"/>
            </c:spPr>
          </c:dPt>
          <c:dPt>
            <c:idx val="3"/>
            <c:bubble3D val="0"/>
            <c:spPr>
              <a:solidFill>
                <a:schemeClr val="accent4">
                  <a:alpha val="90000"/>
                </a:schemeClr>
              </a:solidFill>
              <a:ln w="15875" cmpd="sng">
                <a:solidFill>
                  <a:schemeClr val="accent5">
                    <a:lumMod val="75000"/>
                  </a:schemeClr>
                </a:solidFill>
                <a:prstDash val="solid"/>
              </a:ln>
              <a:effectLst/>
              <a:scene3d>
                <a:camera prst="orthographicFront"/>
                <a:lightRig rig="threePt" dir="t"/>
              </a:scene3d>
              <a:sp3d contourW="15875" prstMaterial="flat"/>
            </c:spPr>
          </c:dPt>
          <c:dPt>
            <c:idx val="4"/>
            <c:bubble3D val="0"/>
            <c:spPr>
              <a:solidFill>
                <a:schemeClr val="accent5"/>
              </a:solidFill>
              <a:ln w="15875" cmpd="sng">
                <a:solidFill>
                  <a:schemeClr val="bg1"/>
                </a:solidFill>
                <a:prstDash val="solid"/>
              </a:ln>
              <a:effectLst/>
              <a:scene3d>
                <a:camera prst="orthographicFront"/>
                <a:lightRig rig="threePt" dir="t"/>
              </a:scene3d>
              <a:sp3d contourW="15875" prstMaterial="flat"/>
            </c:spPr>
          </c:dPt>
          <c:dPt>
            <c:idx val="5"/>
            <c:bubble3D val="0"/>
            <c:spPr>
              <a:solidFill>
                <a:schemeClr val="accent6"/>
              </a:solidFill>
              <a:ln w="15875" cmpd="sng">
                <a:solidFill>
                  <a:schemeClr val="bg1"/>
                </a:solidFill>
                <a:prstDash val="solid"/>
              </a:ln>
              <a:effectLst/>
              <a:scene3d>
                <a:camera prst="orthographicFront"/>
                <a:lightRig rig="threePt" dir="t"/>
              </a:scene3d>
              <a:sp3d contourW="15875" prstMaterial="flat"/>
            </c:spPr>
          </c:dPt>
          <c:dPt>
            <c:idx val="6"/>
            <c:bubble3D val="0"/>
            <c:spPr>
              <a:solidFill>
                <a:schemeClr val="accent1">
                  <a:lumMod val="60000"/>
                </a:schemeClr>
              </a:solidFill>
              <a:ln w="15875" cmpd="sng">
                <a:solidFill>
                  <a:schemeClr val="bg1"/>
                </a:solidFill>
                <a:prstDash val="solid"/>
              </a:ln>
              <a:effectLst/>
              <a:scene3d>
                <a:camera prst="orthographicFront"/>
                <a:lightRig rig="threePt" dir="t"/>
              </a:scene3d>
              <a:sp3d contourW="15875" prstMaterial="flat"/>
            </c:spPr>
          </c:dPt>
          <c:dPt>
            <c:idx val="7"/>
            <c:bubble3D val="0"/>
            <c:spPr>
              <a:solidFill>
                <a:schemeClr val="accent2">
                  <a:lumMod val="60000"/>
                </a:schemeClr>
              </a:solidFill>
              <a:ln w="15875" cmpd="sng">
                <a:solidFill>
                  <a:schemeClr val="bg1"/>
                </a:solidFill>
                <a:prstDash val="solid"/>
              </a:ln>
              <a:effectLst/>
              <a:scene3d>
                <a:camera prst="orthographicFront"/>
                <a:lightRig rig="threePt" dir="t"/>
              </a:scene3d>
              <a:sp3d contourW="15875" prstMaterial="flat"/>
            </c:spPr>
          </c:dPt>
          <c:dPt>
            <c:idx val="8"/>
            <c:bubble3D val="0"/>
            <c:spPr>
              <a:solidFill>
                <a:schemeClr val="accent3">
                  <a:lumMod val="60000"/>
                </a:schemeClr>
              </a:solidFill>
              <a:ln w="15875" cmpd="sng">
                <a:solidFill>
                  <a:schemeClr val="bg1"/>
                </a:solidFill>
                <a:prstDash val="solid"/>
              </a:ln>
              <a:effectLst/>
              <a:scene3d>
                <a:camera prst="orthographicFront"/>
                <a:lightRig rig="threePt" dir="t"/>
              </a:scene3d>
              <a:sp3d contourW="15875" prstMaterial="flat"/>
            </c:spPr>
          </c:dPt>
          <c:dPt>
            <c:idx val="9"/>
            <c:bubble3D val="0"/>
            <c:spPr>
              <a:solidFill>
                <a:schemeClr val="accent4">
                  <a:lumMod val="60000"/>
                </a:schemeClr>
              </a:solidFill>
              <a:ln w="15875" cmpd="sng">
                <a:solidFill>
                  <a:schemeClr val="bg1"/>
                </a:solidFill>
                <a:prstDash val="solid"/>
              </a:ln>
              <a:effectLst/>
              <a:scene3d>
                <a:camera prst="orthographicFront"/>
                <a:lightRig rig="threePt" dir="t"/>
              </a:scene3d>
              <a:sp3d contourW="15875" prstMaterial="flat"/>
            </c:spPr>
          </c:dPt>
          <c:dPt>
            <c:idx val="10"/>
            <c:bubble3D val="0"/>
            <c:spPr>
              <a:solidFill>
                <a:schemeClr val="accent5">
                  <a:lumMod val="60000"/>
                </a:schemeClr>
              </a:solidFill>
              <a:ln w="15875" cmpd="sng">
                <a:solidFill>
                  <a:schemeClr val="bg1"/>
                </a:solidFill>
                <a:prstDash val="solid"/>
              </a:ln>
              <a:effectLst/>
              <a:scene3d>
                <a:camera prst="orthographicFront"/>
                <a:lightRig rig="threePt" dir="t"/>
              </a:scene3d>
              <a:sp3d contourW="15875" prstMaterial="flat"/>
            </c:spPr>
          </c:dPt>
          <c:dPt>
            <c:idx val="11"/>
            <c:bubble3D val="0"/>
            <c:spPr>
              <a:solidFill>
                <a:schemeClr val="accent6">
                  <a:lumMod val="60000"/>
                </a:schemeClr>
              </a:solidFill>
              <a:ln w="15875" cmpd="sng">
                <a:solidFill>
                  <a:schemeClr val="bg1"/>
                </a:solidFill>
                <a:prstDash val="solid"/>
              </a:ln>
              <a:effectLst/>
              <a:scene3d>
                <a:camera prst="orthographicFront"/>
                <a:lightRig rig="threePt" dir="t"/>
              </a:scene3d>
              <a:sp3d contourW="15875" prstMaterial="flat"/>
            </c:spPr>
          </c:dPt>
          <c:dPt>
            <c:idx val="12"/>
            <c:bubble3D val="0"/>
            <c:spPr>
              <a:solidFill>
                <a:schemeClr val="accent1">
                  <a:lumMod val="80000"/>
                  <a:lumOff val="20000"/>
                </a:schemeClr>
              </a:solidFill>
              <a:ln w="15875" cmpd="sng">
                <a:solidFill>
                  <a:schemeClr val="bg1"/>
                </a:solidFill>
                <a:prstDash val="solid"/>
              </a:ln>
              <a:effectLst/>
              <a:scene3d>
                <a:camera prst="orthographicFront"/>
                <a:lightRig rig="threePt" dir="t"/>
              </a:scene3d>
              <a:sp3d contourW="15875" prstMaterial="flat"/>
            </c:spPr>
          </c:dPt>
          <c:dPt>
            <c:idx val="13"/>
            <c:bubble3D val="0"/>
            <c:spPr>
              <a:solidFill>
                <a:schemeClr val="accent2">
                  <a:lumMod val="80000"/>
                  <a:lumOff val="20000"/>
                </a:schemeClr>
              </a:solidFill>
              <a:ln w="15875" cmpd="sng">
                <a:solidFill>
                  <a:schemeClr val="bg1"/>
                </a:solidFill>
                <a:prstDash val="solid"/>
              </a:ln>
              <a:effectLst/>
              <a:scene3d>
                <a:camera prst="orthographicFront"/>
                <a:lightRig rig="threePt" dir="t"/>
              </a:scene3d>
              <a:sp3d contourW="15875" prstMaterial="flat"/>
            </c:spPr>
          </c:dPt>
          <c:dLbls>
            <c:dLbl>
              <c:idx val="0"/>
              <c:layout>
                <c:manualLayout>
                  <c:x val="0.0728537673930165"/>
                  <c:y val="0.010772206725626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303899338740338"/>
                  <c:y val="0.006757049517093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472564977684432"/>
                  <c:y val="0.0026920315865039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4048306642163"/>
                  <c:y val="0.01615218951902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0733554347231348"/>
                  <c:y val="-0.0018483837897360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110265161459701"/>
                  <c:y val="-0.05114860014357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000837675058621962"/>
                  <c:y val="-0.061206038136016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0413494355473878"/>
                  <c:y val="0.021536252692031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0.0118141244421108"/>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0945129955368863"/>
                  <c:y val="-0.037688442211055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00984510370175899"/>
                  <c:y val="-0.091529073941134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0236282488842216"/>
                  <c:y val="-0.096913137114142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3"/>
              <c:layout>
                <c:manualLayout>
                  <c:x val="0.0748227881333683"/>
                  <c:y val="-0.053840631730079"/>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solidFill>
                <a:srgbClr val="00B0F0"/>
              </a:solid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质量</c:v>
                </c:pt>
                <c:pt idx="1">
                  <c:v>标准</c:v>
                </c:pt>
                <c:pt idx="2">
                  <c:v>认证认可</c:v>
                </c:pt>
                <c:pt idx="3">
                  <c:v>合同</c:v>
                </c:pt>
                <c:pt idx="4">
                  <c:v>安全</c:v>
                </c:pt>
                <c:pt idx="5">
                  <c:v>广告</c:v>
                </c:pt>
                <c:pt idx="6">
                  <c:v>售后服务</c:v>
                </c:pt>
                <c:pt idx="7">
                  <c:v>商标</c:v>
                </c:pt>
                <c:pt idx="8">
                  <c:v>不正当竞争</c:v>
                </c:pt>
                <c:pt idx="9">
                  <c:v>计量</c:v>
                </c:pt>
                <c:pt idx="10">
                  <c:v>人身权利</c:v>
                </c:pt>
                <c:pt idx="11">
                  <c:v>食品安全</c:v>
                </c:pt>
                <c:pt idx="12">
                  <c:v>价格</c:v>
                </c:pt>
                <c:pt idx="13">
                  <c:v>其他</c:v>
                </c:pt>
              </c:strCache>
            </c:strRef>
          </c:cat>
          <c:val>
            <c:numRef>
              <c:f>Sheet1!$B$2:$B$15</c:f>
              <c:numCache>
                <c:formatCode>General</c:formatCode>
                <c:ptCount val="14"/>
                <c:pt idx="0">
                  <c:v>48</c:v>
                </c:pt>
                <c:pt idx="1">
                  <c:v>32</c:v>
                </c:pt>
                <c:pt idx="2">
                  <c:v>1</c:v>
                </c:pt>
                <c:pt idx="3">
                  <c:v>34</c:v>
                </c:pt>
                <c:pt idx="4">
                  <c:v>13</c:v>
                </c:pt>
                <c:pt idx="5">
                  <c:v>4</c:v>
                </c:pt>
                <c:pt idx="6">
                  <c:v>67</c:v>
                </c:pt>
                <c:pt idx="7">
                  <c:v>2</c:v>
                </c:pt>
                <c:pt idx="8">
                  <c:v>27</c:v>
                </c:pt>
                <c:pt idx="9">
                  <c:v>6</c:v>
                </c:pt>
                <c:pt idx="10">
                  <c:v>14</c:v>
                </c:pt>
                <c:pt idx="11">
                  <c:v>207</c:v>
                </c:pt>
                <c:pt idx="12">
                  <c:v>23</c:v>
                </c:pt>
                <c:pt idx="13">
                  <c:v>77</c:v>
                </c:pt>
              </c:numCache>
            </c:numRef>
          </c:val>
        </c:ser>
        <c:dLbls>
          <c:showLegendKey val="0"/>
          <c:showVal val="1"/>
          <c:showCatName val="0"/>
          <c:showSerName val="0"/>
          <c:showPercent val="0"/>
          <c:showBubbleSize val="0"/>
        </c:dLbls>
      </c:pie3DChart>
      <c:spPr>
        <a:noFill/>
        <a:ln>
          <a:noFill/>
        </a:ln>
        <a:effectLst/>
      </c:spPr>
    </c:plotArea>
    <c:legend>
      <c:legendPos val="r"/>
      <c:layout>
        <c:manualLayout>
          <c:xMode val="edge"/>
          <c:yMode val="edge"/>
          <c:x val="0.0657899488708596"/>
          <c:y val="0.110627624931967"/>
          <c:w val="0.930217503883998"/>
          <c:h val="0.0752688172043011"/>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图6：举报按问题类别统计图（单位：件）</a:t>
            </a:r>
          </a:p>
        </c:rich>
      </c:tx>
      <c:layout>
        <c:manualLayout>
          <c:xMode val="edge"/>
          <c:yMode val="edge"/>
          <c:x val="0.179258481147168"/>
          <c:y val="0.00488758553274682"/>
        </c:manualLayout>
      </c:layout>
      <c:overlay val="0"/>
      <c:spPr>
        <a:noFill/>
        <a:ln>
          <a:noFill/>
        </a:ln>
        <a:effectLst/>
      </c:spPr>
    </c:title>
    <c:autoTitleDeleted val="0"/>
    <c:view3D>
      <c:rotX val="50"/>
      <c:rotY val="28"/>
      <c:depthPercent val="100"/>
      <c:rAngAx val="0"/>
    </c:view3D>
    <c:floor>
      <c:thickness val="0"/>
    </c:floor>
    <c:sideWall>
      <c:thickness val="0"/>
    </c:sideWall>
    <c:backWall>
      <c:thickness val="0"/>
    </c:backWall>
    <c:plotArea>
      <c:layout/>
      <c:pie3DChart>
        <c:varyColors val="1"/>
        <c:ser>
          <c:idx val="0"/>
          <c:order val="0"/>
          <c:spPr>
            <a:scene3d>
              <a:camera prst="orthographicFront"/>
              <a:lightRig rig="threePt" dir="t"/>
            </a:scene3d>
            <a:sp3d contourW="9525"/>
          </c:spPr>
          <c:explosion val="0"/>
          <c:dPt>
            <c:idx val="0"/>
            <c:bubble3D val="0"/>
            <c:spPr>
              <a:gradFill>
                <a:gsLst>
                  <a:gs pos="0">
                    <a:schemeClr val="accent1">
                      <a:shade val="76667"/>
                      <a:lumMod val="40000"/>
                      <a:lumOff val="60000"/>
                    </a:schemeClr>
                  </a:gs>
                  <a:gs pos="90000">
                    <a:schemeClr val="accent1">
                      <a:shade val="76667"/>
                    </a:schemeClr>
                  </a:gs>
                </a:gsLst>
                <a:lin ang="5400000" scaled="0"/>
              </a:gradFill>
              <a:ln>
                <a:gradFill>
                  <a:gsLst>
                    <a:gs pos="0">
                      <a:schemeClr val="accent1">
                        <a:shade val="76667"/>
                      </a:schemeClr>
                    </a:gs>
                    <a:gs pos="100000">
                      <a:schemeClr val="accent1">
                        <a:shade val="76667"/>
                        <a:lumMod val="75000"/>
                      </a:schemeClr>
                    </a:gs>
                  </a:gsLst>
                  <a:lin ang="5400000" scaled="1"/>
                </a:gradFill>
              </a:ln>
              <a:effectLst/>
            </c:spPr>
          </c:dPt>
          <c:dPt>
            <c:idx val="1"/>
            <c:bubble3D val="0"/>
            <c:spPr>
              <a:gradFill>
                <a:gsLst>
                  <a:gs pos="0">
                    <a:schemeClr val="accent2">
                      <a:shade val="76667"/>
                      <a:lumMod val="40000"/>
                      <a:lumOff val="60000"/>
                    </a:schemeClr>
                  </a:gs>
                  <a:gs pos="90000">
                    <a:schemeClr val="accent2">
                      <a:shade val="76667"/>
                    </a:schemeClr>
                  </a:gs>
                </a:gsLst>
                <a:lin ang="5400000" scaled="0"/>
              </a:gradFill>
              <a:ln>
                <a:gradFill>
                  <a:gsLst>
                    <a:gs pos="0">
                      <a:schemeClr val="accent2">
                        <a:shade val="76667"/>
                      </a:schemeClr>
                    </a:gs>
                    <a:gs pos="100000">
                      <a:schemeClr val="accent2">
                        <a:shade val="76667"/>
                        <a:lumMod val="75000"/>
                      </a:schemeClr>
                    </a:gs>
                  </a:gsLst>
                  <a:lin ang="5400000" scaled="1"/>
                </a:gradFill>
              </a:ln>
              <a:effectLst/>
            </c:spPr>
          </c:dPt>
          <c:dPt>
            <c:idx val="2"/>
            <c:bubble3D val="0"/>
            <c:spPr>
              <a:gradFill>
                <a:gsLst>
                  <a:gs pos="0">
                    <a:schemeClr val="accent3">
                      <a:shade val="76667"/>
                      <a:lumMod val="40000"/>
                      <a:lumOff val="60000"/>
                    </a:schemeClr>
                  </a:gs>
                  <a:gs pos="90000">
                    <a:schemeClr val="accent3">
                      <a:shade val="76667"/>
                    </a:schemeClr>
                  </a:gs>
                </a:gsLst>
                <a:lin ang="5400000" scaled="0"/>
              </a:gradFill>
              <a:ln>
                <a:gradFill>
                  <a:gsLst>
                    <a:gs pos="0">
                      <a:schemeClr val="accent3">
                        <a:shade val="76667"/>
                      </a:schemeClr>
                    </a:gs>
                    <a:gs pos="100000">
                      <a:schemeClr val="accent3">
                        <a:shade val="76667"/>
                        <a:lumMod val="75000"/>
                      </a:schemeClr>
                    </a:gs>
                  </a:gsLst>
                  <a:lin ang="5400000" scaled="1"/>
                </a:gradFill>
              </a:ln>
              <a:effectLst/>
            </c:spPr>
          </c:dPt>
          <c:dPt>
            <c:idx val="3"/>
            <c:bubble3D val="0"/>
            <c:spPr>
              <a:gradFill>
                <a:gsLst>
                  <a:gs pos="0">
                    <a:schemeClr val="accent4">
                      <a:shade val="76667"/>
                      <a:lumMod val="40000"/>
                      <a:lumOff val="60000"/>
                    </a:schemeClr>
                  </a:gs>
                  <a:gs pos="90000">
                    <a:schemeClr val="accent4">
                      <a:shade val="76667"/>
                    </a:schemeClr>
                  </a:gs>
                </a:gsLst>
                <a:lin ang="5400000" scaled="0"/>
              </a:gradFill>
              <a:ln>
                <a:gradFill>
                  <a:gsLst>
                    <a:gs pos="0">
                      <a:schemeClr val="accent4">
                        <a:shade val="76667"/>
                      </a:schemeClr>
                    </a:gs>
                    <a:gs pos="100000">
                      <a:schemeClr val="accent4">
                        <a:shade val="76667"/>
                        <a:lumMod val="75000"/>
                      </a:schemeClr>
                    </a:gs>
                  </a:gsLst>
                  <a:lin ang="5400000" scaled="1"/>
                </a:gradFill>
              </a:ln>
              <a:effectLst/>
            </c:spPr>
          </c:dPt>
          <c:dPt>
            <c:idx val="4"/>
            <c:bubble3D val="0"/>
            <c:spPr>
              <a:gradFill>
                <a:gsLst>
                  <a:gs pos="0">
                    <a:schemeClr val="accent5">
                      <a:shade val="76667"/>
                      <a:lumMod val="40000"/>
                      <a:lumOff val="60000"/>
                    </a:schemeClr>
                  </a:gs>
                  <a:gs pos="90000">
                    <a:schemeClr val="accent5">
                      <a:shade val="76667"/>
                    </a:schemeClr>
                  </a:gs>
                </a:gsLst>
                <a:lin ang="5400000" scaled="0"/>
              </a:gradFill>
              <a:ln>
                <a:gradFill>
                  <a:gsLst>
                    <a:gs pos="0">
                      <a:schemeClr val="accent5">
                        <a:shade val="76667"/>
                      </a:schemeClr>
                    </a:gs>
                    <a:gs pos="100000">
                      <a:schemeClr val="accent5">
                        <a:shade val="76667"/>
                        <a:lumMod val="75000"/>
                      </a:schemeClr>
                    </a:gs>
                  </a:gsLst>
                  <a:lin ang="5400000" scaled="1"/>
                </a:gradFill>
              </a:ln>
              <a:effectLst/>
              <a:scene3d>
                <a:camera prst="orthographicFront"/>
                <a:lightRig rig="threePt" dir="t"/>
              </a:scene3d>
              <a:sp3d contourW="9525"/>
            </c:spPr>
          </c:dPt>
          <c:dPt>
            <c:idx val="5"/>
            <c:bubble3D val="0"/>
            <c:spPr>
              <a:gradFill>
                <a:gsLst>
                  <a:gs pos="0">
                    <a:schemeClr val="accent6">
                      <a:shade val="76667"/>
                      <a:lumMod val="40000"/>
                      <a:lumOff val="60000"/>
                    </a:schemeClr>
                  </a:gs>
                  <a:gs pos="90000">
                    <a:schemeClr val="accent6">
                      <a:shade val="76667"/>
                    </a:schemeClr>
                  </a:gs>
                </a:gsLst>
                <a:lin ang="5400000" scaled="0"/>
              </a:gradFill>
              <a:ln>
                <a:gradFill>
                  <a:gsLst>
                    <a:gs pos="0">
                      <a:schemeClr val="accent6">
                        <a:shade val="76667"/>
                      </a:schemeClr>
                    </a:gs>
                    <a:gs pos="100000">
                      <a:schemeClr val="accent6">
                        <a:shade val="76667"/>
                        <a:lumMod val="75000"/>
                      </a:schemeClr>
                    </a:gs>
                  </a:gsLst>
                  <a:lin ang="5400000" scaled="1"/>
                </a:gradFill>
              </a:ln>
              <a:effectLst/>
              <a:scene3d>
                <a:camera prst="orthographicFront"/>
                <a:lightRig rig="threePt" dir="t"/>
              </a:scene3d>
              <a:sp3d contourW="9525"/>
            </c:spPr>
          </c:dPt>
          <c:dPt>
            <c:idx val="6"/>
            <c:bubble3D val="0"/>
            <c:spPr>
              <a:scene3d>
                <a:camera prst="orthographicFront"/>
                <a:lightRig rig="threePt" dir="t"/>
              </a:scene3d>
              <a:sp3d contourW="9525"/>
            </c:spPr>
          </c:dPt>
          <c:dPt>
            <c:idx val="7"/>
            <c:bubble3D val="0"/>
            <c:spPr>
              <a:scene3d>
                <a:camera prst="orthographicFront"/>
                <a:lightRig rig="threePt" dir="t"/>
              </a:scene3d>
              <a:sp3d contourW="9525"/>
            </c:spPr>
          </c:dPt>
          <c:dPt>
            <c:idx val="8"/>
            <c:bubble3D val="0"/>
            <c:spPr>
              <a:scene3d>
                <a:camera prst="orthographicFront"/>
                <a:lightRig rig="threePt" dir="t"/>
              </a:scene3d>
              <a:sp3d contourW="9525"/>
            </c:spPr>
          </c:dPt>
          <c:dPt>
            <c:idx val="9"/>
            <c:bubble3D val="0"/>
            <c:spPr>
              <a:scene3d>
                <a:camera prst="orthographicFront"/>
                <a:lightRig rig="threePt" dir="t"/>
              </a:scene3d>
              <a:sp3d contourW="9525"/>
            </c:spPr>
          </c:dPt>
          <c:dPt>
            <c:idx val="10"/>
            <c:bubble3D val="0"/>
            <c:spPr>
              <a:scene3d>
                <a:camera prst="orthographicFront"/>
                <a:lightRig rig="threePt" dir="t"/>
              </a:scene3d>
              <a:sp3d contourW="9525"/>
            </c:spPr>
          </c:dPt>
          <c:dPt>
            <c:idx val="11"/>
            <c:bubble3D val="0"/>
            <c:spPr>
              <a:scene3d>
                <a:camera prst="orthographicFront"/>
                <a:lightRig rig="threePt" dir="t"/>
              </a:scene3d>
              <a:sp3d contourW="9525"/>
            </c:spPr>
          </c:dPt>
          <c:dPt>
            <c:idx val="12"/>
            <c:bubble3D val="0"/>
            <c:spPr>
              <a:scene3d>
                <a:camera prst="orthographicFront"/>
                <a:lightRig rig="threePt" dir="t"/>
              </a:scene3d>
              <a:sp3d contourW="9525"/>
            </c:spPr>
          </c:dPt>
          <c:dPt>
            <c:idx val="13"/>
            <c:bubble3D val="0"/>
            <c:spPr>
              <a:scene3d>
                <a:camera prst="orthographicFront"/>
                <a:lightRig rig="threePt" dir="t"/>
              </a:scene3d>
              <a:sp3d contourW="9525"/>
            </c:spPr>
          </c:dPt>
          <c:dPt>
            <c:idx val="14"/>
            <c:bubble3D val="0"/>
            <c:spPr>
              <a:scene3d>
                <a:camera prst="orthographicFront"/>
                <a:lightRig rig="threePt" dir="t"/>
              </a:scene3d>
              <a:sp3d contourW="9525"/>
            </c:spPr>
          </c:dPt>
          <c:dPt>
            <c:idx val="15"/>
            <c:bubble3D val="0"/>
            <c:spPr>
              <a:scene3d>
                <a:camera prst="orthographicFront"/>
                <a:lightRig rig="threePt" dir="t"/>
              </a:scene3d>
              <a:sp3d contourW="9525"/>
            </c:spPr>
          </c:dPt>
          <c:dPt>
            <c:idx val="16"/>
            <c:bubble3D val="0"/>
            <c:spPr>
              <a:scene3d>
                <a:camera prst="orthographicFront"/>
                <a:lightRig rig="threePt" dir="t"/>
              </a:scene3d>
              <a:sp3d contourW="9525"/>
            </c:spPr>
          </c:dPt>
          <c:dLbls>
            <c:dLbl>
              <c:idx val="0"/>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2">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3">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4">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5">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5"/>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6">
                          <a:shade val="76667"/>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6"/>
              <c:layout>
                <c:manualLayout>
                  <c:x val="0.089589613355926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5700575815739"/>
                      <c:h val="0.101905261317951"/>
                    </c:manualLayout>
                  </c15:layout>
                </c:ext>
              </c:extLst>
            </c:dLbl>
            <c:dLbl>
              <c:idx val="7"/>
              <c:layout>
                <c:manualLayout>
                  <c:x val="0.0687409551374819"/>
                  <c:y val="0.0876711655491227"/>
                </c:manualLayout>
              </c:layout>
              <c:tx>
                <c:rich>
                  <a:bodyPr rot="0" spcFirstLastPara="0" vertOverflow="ellipsis" vert="horz" wrap="square" lIns="38100" tIns="19050" rIns="38100" bIns="19050" anchor="ctr" anchorCtr="1"/>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chemeClr val="accent2"/>
                        </a:solidFill>
                      </a:rPr>
                      <a:t>违反网络商品交易管理法规2%</a:t>
                    </a:r>
                    <a:endParaRPr>
                      <a:solidFill>
                        <a:schemeClr val="accent2"/>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0.00723589001447178"/>
                  <c:y val="0.0488758553274682"/>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rgbClr val="FFC000"/>
                        </a:solidFill>
                      </a:rPr>
                      <a:t>化妆品违法行为2%</a:t>
                    </a:r>
                    <a:endParaRPr>
                      <a:solidFill>
                        <a:srgbClr val="FFC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9"/>
              <c:layout>
                <c:manualLayout>
                  <c:x val="-0.0477236058695366"/>
                  <c:y val="-0.00485977904808394"/>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chemeClr val="accent4"/>
                        </a:solidFill>
                      </a:rPr>
                      <a:t>价格违法行为5%</a:t>
                    </a:r>
                    <a:endParaRPr>
                      <a:solidFill>
                        <a:schemeClr val="accent4"/>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0"/>
              <c:layout>
                <c:manualLayout>
                  <c:x val="-0.026026461395095"/>
                  <c:y val="-0.0244379276637341"/>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rgbClr val="00B0F0"/>
                        </a:solidFill>
                      </a:rPr>
                      <a:t>商标违法行为1%</a:t>
                    </a:r>
                    <a:endParaRPr>
                      <a:solidFill>
                        <a:srgbClr val="00B0F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1"/>
              <c:layout>
                <c:manualLayout>
                  <c:x val="0"/>
                  <c:y val="-0.0929543685773733"/>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rgbClr val="FF0000"/>
                        </a:solidFill>
                      </a:rPr>
                      <a:t>计量违法行为1%</a:t>
                    </a:r>
                    <a:endParaRPr>
                      <a:solidFill>
                        <a:srgbClr val="FF000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8353268092304"/>
                      <c:h val="0.113737075332349"/>
                    </c:manualLayout>
                  </c15:layout>
                </c:ext>
              </c:extLst>
            </c:dLbl>
            <c:dLbl>
              <c:idx val="12"/>
              <c:layout>
                <c:manualLayout>
                  <c:x val="0"/>
                  <c:y val="-0.10019550342131"/>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rgbClr val="7E719F"/>
                        </a:solidFill>
                      </a:rPr>
                      <a:t>特种设备违法行为1%</a:t>
                    </a:r>
                    <a:endParaRPr>
                      <a:solidFill>
                        <a:srgbClr val="7E719F"/>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1241202815099"/>
                      <c:h val="0.130746373011711"/>
                    </c:manualLayout>
                  </c15:layout>
                </c:ext>
              </c:extLst>
            </c:dLbl>
            <c:dLbl>
              <c:idx val="13"/>
              <c:layout>
                <c:manualLayout>
                  <c:x val="-0.0248146115956908"/>
                  <c:y val="-0.0246184145741014"/>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chemeClr val="accent2">
                            <a:lumMod val="60000"/>
                            <a:lumOff val="40000"/>
                          </a:schemeClr>
                        </a:solidFill>
                      </a:rPr>
                      <a:t>食品安全违法行为19%</a:t>
                    </a:r>
                    <a:endParaRPr>
                      <a:solidFill>
                        <a:schemeClr val="accent2">
                          <a:lumMod val="60000"/>
                          <a:lumOff val="40000"/>
                        </a:schemeClr>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9337924368733"/>
                      <c:h val="0.097160676185787"/>
                    </c:manualLayout>
                  </c15:layout>
                </c:ext>
              </c:extLst>
            </c:dLbl>
            <c:dLbl>
              <c:idx val="14"/>
              <c:layout>
                <c:manualLayout>
                  <c:x val="-0.130246020260492"/>
                  <c:y val="0.00733137829912024"/>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chemeClr val="accent1">
                            <a:lumMod val="40000"/>
                            <a:lumOff val="60000"/>
                          </a:schemeClr>
                        </a:solidFill>
                      </a:rPr>
                      <a:t>医疗器械违法行为1%</a:t>
                    </a:r>
                    <a:endParaRPr>
                      <a:solidFill>
                        <a:schemeClr val="accent1">
                          <a:lumMod val="40000"/>
                          <a:lumOff val="60000"/>
                        </a:schemeClr>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8983931376102"/>
                      <c:h val="0.097653044477269"/>
                    </c:manualLayout>
                  </c15:layout>
                </c:ext>
              </c:extLst>
            </c:dLbl>
            <c:dLbl>
              <c:idx val="15"/>
              <c:layout>
                <c:manualLayout>
                  <c:x val="0.00387339995621263"/>
                  <c:y val="-0.0195114130524592"/>
                </c:manualLayout>
              </c:layout>
              <c:tx>
                <c:rich>
                  <a:bodyPr rot="0" spcFirstLastPara="0" vertOverflow="ellipsis" vert="horz" wrap="square" lIns="38100" tIns="19050" rIns="38100" bIns="19050" anchor="ctr" anchorCtr="1" forceAA="0"/>
                  <a:lstStyle/>
                  <a:p>
                    <a:pPr defTabSz="914400">
                      <a:defRPr lang="zh-CN" sz="1000" b="0" i="0" u="none" strike="noStrike" kern="1200" spc="0" baseline="0">
                        <a:solidFill>
                          <a:srgbClr val="00B05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a:solidFill>
                          <a:srgbClr val="00B050"/>
                        </a:solidFill>
                      </a:rPr>
                      <a:t>药品违法行为3%</a:t>
                    </a:r>
                    <a:endParaRPr>
                      <a:solidFill>
                        <a:srgbClr val="00B050"/>
                      </a:solidFill>
                    </a:endParaRPr>
                  </a:p>
                </c:rich>
              </c:tx>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rgbClr val="00B050"/>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6"/>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spc="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Sheet1!$A$1:$A$17</c:f>
              <c:strCache>
                <c:ptCount val="17"/>
                <c:pt idx="0">
                  <c:v> 图6：三季度举报按问题统计图（单位:件）</c:v>
                </c:pt>
                <c:pt idx="1">
                  <c:v>违反登记管理行为</c:v>
                </c:pt>
                <c:pt idx="2">
                  <c:v>不正当竞争行为</c:v>
                </c:pt>
                <c:pt idx="3">
                  <c:v>标准违法行为</c:v>
                </c:pt>
                <c:pt idx="4">
                  <c:v>侵害消费者权益行为</c:v>
                </c:pt>
                <c:pt idx="5">
                  <c:v>产品质量违法行为</c:v>
                </c:pt>
                <c:pt idx="6">
                  <c:v>广告违法行为</c:v>
                </c:pt>
                <c:pt idx="7">
                  <c:v>违反网络商品交易管理法规</c:v>
                </c:pt>
                <c:pt idx="8">
                  <c:v>化妆品违法行为</c:v>
                </c:pt>
                <c:pt idx="9">
                  <c:v>价格违法行为</c:v>
                </c:pt>
                <c:pt idx="10">
                  <c:v>商标违法行为</c:v>
                </c:pt>
                <c:pt idx="11">
                  <c:v>计量违法行为</c:v>
                </c:pt>
                <c:pt idx="12">
                  <c:v>特种设备违法行为</c:v>
                </c:pt>
                <c:pt idx="13">
                  <c:v>食品安全违法行为</c:v>
                </c:pt>
                <c:pt idx="14">
                  <c:v>医疗器械违法行为</c:v>
                </c:pt>
                <c:pt idx="15">
                  <c:v>药品违法行为</c:v>
                </c:pt>
                <c:pt idx="16">
                  <c:v>其他市场监管领域违法行为</c:v>
                </c:pt>
              </c:strCache>
            </c:strRef>
          </c:cat>
          <c:val>
            <c:numRef>
              <c:f>Sheet1!$B$1:$B$17</c:f>
              <c:numCache>
                <c:formatCode>General</c:formatCode>
                <c:ptCount val="17"/>
                <c:pt idx="1">
                  <c:v>11</c:v>
                </c:pt>
                <c:pt idx="2">
                  <c:v>21</c:v>
                </c:pt>
                <c:pt idx="3">
                  <c:v>2</c:v>
                </c:pt>
                <c:pt idx="4">
                  <c:v>24</c:v>
                </c:pt>
                <c:pt idx="5">
                  <c:v>5</c:v>
                </c:pt>
                <c:pt idx="6">
                  <c:v>54</c:v>
                </c:pt>
                <c:pt idx="7">
                  <c:v>4</c:v>
                </c:pt>
                <c:pt idx="8">
                  <c:v>5</c:v>
                </c:pt>
                <c:pt idx="9">
                  <c:v>10</c:v>
                </c:pt>
                <c:pt idx="10">
                  <c:v>3</c:v>
                </c:pt>
                <c:pt idx="11">
                  <c:v>1</c:v>
                </c:pt>
                <c:pt idx="12">
                  <c:v>3</c:v>
                </c:pt>
                <c:pt idx="13">
                  <c:v>40</c:v>
                </c:pt>
                <c:pt idx="14">
                  <c:v>1</c:v>
                </c:pt>
                <c:pt idx="15">
                  <c:v>6</c:v>
                </c:pt>
                <c:pt idx="16">
                  <c:v>20</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6350" cap="flat" cmpd="sng" algn="ctr">
      <a:no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10800000" scaled="0"/>
      </a:gradFill>
      <a:ln>
        <a:gradFill>
          <a:gsLst>
            <a:gs pos="0">
              <a:schemeClr val="phClr"/>
            </a:gs>
            <a:gs pos="100000">
              <a:schemeClr val="phClr">
                <a:lumMod val="75000"/>
              </a:schemeClr>
            </a:gs>
          </a:gsLst>
          <a:lin ang="10800000" scaled="0"/>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000">
    <a:dk1>
      <a:srgbClr val="000000"/>
    </a:dk1>
    <a:lt1>
      <a:srgbClr val="FFFFFF"/>
    </a:lt1>
    <a:dk2>
      <a:srgbClr val="DDD3D4"/>
    </a:dk2>
    <a:lt2>
      <a:srgbClr val="C5BBCC"/>
    </a:lt2>
    <a:accent1>
      <a:srgbClr val="FCA7B7"/>
    </a:accent1>
    <a:accent2>
      <a:srgbClr val="FD83B4"/>
    </a:accent2>
    <a:accent3>
      <a:srgbClr val="F95F92"/>
    </a:accent3>
    <a:accent4>
      <a:srgbClr val="7DD1DB"/>
    </a:accent4>
    <a:accent5>
      <a:srgbClr val="4ED0CE"/>
    </a:accent5>
    <a:accent6>
      <a:srgbClr val="34BCBA"/>
    </a:accent6>
    <a:hlink>
      <a:srgbClr val="BE95A4"/>
    </a:hlink>
    <a:folHlink>
      <a:srgbClr val="94B9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多彩-03">
    <a:dk1>
      <a:srgbClr val="000000"/>
    </a:dk1>
    <a:lt1>
      <a:srgbClr val="FFFFFF"/>
    </a:lt1>
    <a:dk2>
      <a:srgbClr val="000000"/>
    </a:dk2>
    <a:lt2>
      <a:srgbClr val="FEFFFF"/>
    </a:lt2>
    <a:accent1>
      <a:srgbClr val="6EC62E"/>
    </a:accent1>
    <a:accent2>
      <a:srgbClr val="FC9D3D"/>
    </a:accent2>
    <a:accent3>
      <a:srgbClr val="FC7299"/>
    </a:accent3>
    <a:accent4>
      <a:srgbClr val="4E81FF"/>
    </a:accent4>
    <a:accent5>
      <a:srgbClr val="FA5F5F"/>
    </a:accent5>
    <a:accent6>
      <a:srgbClr val="AC6DFF"/>
    </a:accent6>
    <a:hlink>
      <a:srgbClr val="304FFE"/>
    </a:hlink>
    <a:folHlink>
      <a:srgbClr val="00A3F4"/>
    </a:folHlink>
  </a:clrScheme>
  <a:fontScheme name="微软雅黑">
    <a:majorFont>
      <a:latin typeface="Arial"/>
      <a:ea typeface="微软雅黑"/>
      <a:cs typeface=""/>
    </a:majorFont>
    <a:minorFont>
      <a:latin typeface="Arial"/>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1989</Words>
  <Characters>2271</Characters>
  <Lines>0</Lines>
  <Paragraphs>0</Paragraphs>
  <TotalTime>21</TotalTime>
  <ScaleCrop>false</ScaleCrop>
  <LinksUpToDate>false</LinksUpToDate>
  <CharactersWithSpaces>2288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2023-01-28T06:36:00Z</dcterms:created>
  <cp:lastPrinted>2024-10-09T08:28:00Z</cp:lastPrinted>
  <dcterms:modified xsi:type="dcterms:W3CDTF">2024-10-12T01:09:40Z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1C5D78531C0443E896C76B51C72151D9_13</vt:lpwstr>
  </property>
</Properties>
</file>