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伊春市市级财政性资金竞争</w:t>
      </w:r>
    </w:p>
    <w:p>
      <w:pPr>
        <w:spacing w:line="574" w:lineRule="exact"/>
        <w:jc w:val="center"/>
        <w:rPr>
          <w:rFonts w:hint="eastAsia" w:ascii="方正小标宋简体" w:hAnsi="华文中宋" w:eastAsia="方正小标宋简体"/>
          <w:bCs/>
          <w:sz w:val="44"/>
          <w:szCs w:val="44"/>
        </w:rPr>
      </w:pPr>
      <w:r>
        <w:rPr>
          <w:rFonts w:hint="eastAsia" w:ascii="方正小标宋简体" w:hAnsi="华文中宋" w:eastAsia="方正小标宋简体" w:cs="方正小标宋简体"/>
          <w:sz w:val="44"/>
          <w:szCs w:val="44"/>
          <w:lang w:val="en-US" w:eastAsia="zh-CN"/>
        </w:rPr>
        <w:t xml:space="preserve"> </w:t>
      </w:r>
      <w:r>
        <w:rPr>
          <w:rFonts w:hint="eastAsia" w:ascii="方正小标宋简体" w:hAnsi="华文中宋" w:eastAsia="方正小标宋简体" w:cs="方正小标宋简体"/>
          <w:sz w:val="44"/>
          <w:szCs w:val="44"/>
        </w:rPr>
        <w:t>性存放</w:t>
      </w:r>
      <w:r>
        <w:rPr>
          <w:rFonts w:hint="eastAsia" w:ascii="方正小标宋简体" w:hAnsi="华文中宋" w:eastAsia="方正小标宋简体"/>
          <w:bCs/>
          <w:sz w:val="44"/>
          <w:szCs w:val="44"/>
        </w:rPr>
        <w:t>管理暂行办法</w:t>
      </w:r>
    </w:p>
    <w:p>
      <w:pPr>
        <w:spacing w:line="574" w:lineRule="exact"/>
        <w:jc w:val="center"/>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lang w:eastAsia="zh-CN"/>
        </w:rPr>
        <w:t>（征求意见稿）</w:t>
      </w:r>
    </w:p>
    <w:p>
      <w:pPr>
        <w:spacing w:line="574" w:lineRule="exact"/>
        <w:jc w:val="center"/>
        <w:rPr>
          <w:rFonts w:hint="eastAsia" w:ascii="仿宋_GB2312"/>
          <w:bCs/>
          <w:szCs w:val="32"/>
        </w:rPr>
      </w:pPr>
    </w:p>
    <w:p>
      <w:pPr>
        <w:spacing w:line="574" w:lineRule="exact"/>
        <w:jc w:val="center"/>
        <w:rPr>
          <w:rFonts w:eastAsia="黑体"/>
          <w:szCs w:val="32"/>
        </w:rPr>
      </w:pPr>
      <w:r>
        <w:rPr>
          <w:rFonts w:eastAsia="黑体"/>
          <w:szCs w:val="32"/>
        </w:rPr>
        <w:t>第一章  总则</w:t>
      </w:r>
    </w:p>
    <w:p>
      <w:pPr>
        <w:spacing w:line="574" w:lineRule="exact"/>
        <w:ind w:firstLine="632" w:firstLineChars="200"/>
        <w:rPr>
          <w:szCs w:val="32"/>
        </w:rPr>
      </w:pPr>
      <w:r>
        <w:rPr>
          <w:rFonts w:eastAsia="黑体"/>
          <w:szCs w:val="32"/>
        </w:rPr>
        <w:t>第一条</w:t>
      </w:r>
      <w:r>
        <w:rPr>
          <w:rFonts w:hint="eastAsia" w:eastAsia="黑体"/>
          <w:szCs w:val="32"/>
        </w:rPr>
        <w:t xml:space="preserve"> </w:t>
      </w:r>
      <w:r>
        <w:rPr>
          <w:rFonts w:hint="eastAsia" w:ascii="仿宋_GB2312" w:hAnsi="仿宋_GB2312" w:cs="仿宋_GB2312"/>
          <w:szCs w:val="32"/>
        </w:rPr>
        <w:t>为进一步优化伊春市金融发展环境，充分调动金融业支持地方经济发展的积极性，提高金融对地方经济发展的支撑力，实现经济与金融互生共长，</w:t>
      </w:r>
      <w:r>
        <w:rPr>
          <w:szCs w:val="32"/>
        </w:rPr>
        <w:t>根</w:t>
      </w:r>
      <w:bookmarkStart w:id="0" w:name="_GoBack"/>
      <w:bookmarkEnd w:id="0"/>
      <w:r>
        <w:rPr>
          <w:szCs w:val="32"/>
        </w:rPr>
        <w:t>据《黑龙江省财政厅转发财政部关于进一步加强财政部门和预算单位资金存放管理的指导意见的通知》</w:t>
      </w:r>
      <w:r>
        <w:rPr>
          <w:rFonts w:hint="eastAsia"/>
          <w:szCs w:val="32"/>
        </w:rPr>
        <w:t>（</w:t>
      </w:r>
      <w:r>
        <w:rPr>
          <w:szCs w:val="32"/>
        </w:rPr>
        <w:t>黑财库</w:t>
      </w:r>
      <w:r>
        <w:rPr>
          <w:rFonts w:hint="eastAsia" w:ascii="仿宋_GB2312"/>
          <w:szCs w:val="32"/>
        </w:rPr>
        <w:t>〔2017〕74号）</w:t>
      </w:r>
      <w:r>
        <w:rPr>
          <w:rFonts w:hint="eastAsia"/>
          <w:szCs w:val="32"/>
        </w:rPr>
        <w:t>等有关文件，结合我市实际</w:t>
      </w:r>
      <w:r>
        <w:rPr>
          <w:szCs w:val="32"/>
        </w:rPr>
        <w:t>，制定本办法。</w:t>
      </w:r>
    </w:p>
    <w:p>
      <w:pPr>
        <w:spacing w:line="574" w:lineRule="exact"/>
        <w:ind w:firstLine="632" w:firstLineChars="200"/>
        <w:rPr>
          <w:rFonts w:ascii="仿宋_GB2312" w:hAnsi="仿宋_GB2312" w:cs="仿宋_GB2312"/>
          <w:spacing w:val="-4"/>
          <w:szCs w:val="32"/>
        </w:rPr>
      </w:pPr>
      <w:r>
        <w:rPr>
          <w:rFonts w:eastAsia="黑体"/>
          <w:szCs w:val="32"/>
        </w:rPr>
        <w:t>第二条</w:t>
      </w:r>
      <w:r>
        <w:rPr>
          <w:rFonts w:hint="eastAsia" w:eastAsia="黑体"/>
          <w:szCs w:val="32"/>
        </w:rPr>
        <w:t xml:space="preserve"> </w:t>
      </w:r>
      <w:r>
        <w:rPr>
          <w:szCs w:val="32"/>
        </w:rPr>
        <w:t>本办法所称</w:t>
      </w:r>
      <w:r>
        <w:rPr>
          <w:rFonts w:hint="eastAsia" w:ascii="仿宋_GB2312" w:hAnsi="仿宋_GB2312" w:cs="仿宋_GB2312"/>
          <w:szCs w:val="32"/>
        </w:rPr>
        <w:t>财政性资金特指市财政局根据资金使用</w:t>
      </w:r>
      <w:r>
        <w:rPr>
          <w:rFonts w:hint="eastAsia" w:ascii="仿宋_GB2312" w:hAnsi="仿宋_GB2312" w:cs="仿宋_GB2312"/>
          <w:spacing w:val="-4"/>
          <w:szCs w:val="32"/>
        </w:rPr>
        <w:t>部门年度资金收入支出情况提报的可用于开展竞争性存放的资金。</w:t>
      </w:r>
    </w:p>
    <w:p>
      <w:pPr>
        <w:spacing w:line="574" w:lineRule="exact"/>
        <w:ind w:firstLine="632" w:firstLineChars="200"/>
        <w:rPr>
          <w:color w:val="000000"/>
          <w:szCs w:val="32"/>
        </w:rPr>
      </w:pPr>
      <w:r>
        <w:rPr>
          <w:rFonts w:eastAsia="黑体"/>
          <w:szCs w:val="32"/>
        </w:rPr>
        <w:t>第三条</w:t>
      </w:r>
      <w:r>
        <w:rPr>
          <w:rFonts w:hint="eastAsia" w:eastAsia="黑体"/>
          <w:szCs w:val="32"/>
        </w:rPr>
        <w:t xml:space="preserve"> </w:t>
      </w:r>
      <w:r>
        <w:rPr>
          <w:szCs w:val="32"/>
        </w:rPr>
        <w:t>本办法所称</w:t>
      </w:r>
      <w:r>
        <w:rPr>
          <w:rFonts w:hint="eastAsia" w:ascii="仿宋_GB2312" w:hAnsi="仿宋_GB2312" w:cs="仿宋_GB2312"/>
          <w:szCs w:val="32"/>
        </w:rPr>
        <w:t>财政性资金竞争性存放，是指择优确定资金存放银行并</w:t>
      </w:r>
      <w:r>
        <w:rPr>
          <w:rFonts w:ascii="仿宋_GB2312" w:hAnsi="仿宋_GB2312" w:cs="仿宋_GB2312"/>
          <w:szCs w:val="32"/>
        </w:rPr>
        <w:t>与</w:t>
      </w:r>
      <w:r>
        <w:rPr>
          <w:rFonts w:hint="eastAsia" w:ascii="仿宋_GB2312" w:hAnsi="仿宋_GB2312" w:cs="仿宋_GB2312"/>
          <w:szCs w:val="32"/>
        </w:rPr>
        <w:t>银行签订存放协议，在确定期限内办理资金存放的管理活动。财政性资金竞争性存放到期回收，是指财政</w:t>
      </w:r>
      <w:r>
        <w:rPr>
          <w:color w:val="000000"/>
          <w:szCs w:val="32"/>
        </w:rPr>
        <w:t>资金</w:t>
      </w:r>
      <w:r>
        <w:rPr>
          <w:rFonts w:hint="eastAsia"/>
          <w:color w:val="000000"/>
          <w:szCs w:val="32"/>
        </w:rPr>
        <w:t>按照</w:t>
      </w:r>
      <w:r>
        <w:rPr>
          <w:color w:val="000000"/>
          <w:szCs w:val="32"/>
        </w:rPr>
        <w:t>一定期限存放银行，到期后银行向市财政局偿还本金并支付利息。</w:t>
      </w:r>
    </w:p>
    <w:p>
      <w:pPr>
        <w:ind w:firstLine="632" w:firstLineChars="200"/>
        <w:rPr>
          <w:rFonts w:hint="eastAsia"/>
        </w:rPr>
      </w:pPr>
      <w:r>
        <w:rPr>
          <w:rFonts w:hint="eastAsia" w:ascii="黑体" w:eastAsia="黑体"/>
        </w:rPr>
        <w:t>第四条</w:t>
      </w:r>
      <w:r>
        <w:rPr>
          <w:rFonts w:hint="eastAsia"/>
        </w:rPr>
        <w:t xml:space="preserve"> 财政性资金竞争性存放包括定期存款和大额存单两种形式。</w:t>
      </w:r>
    </w:p>
    <w:p>
      <w:pPr>
        <w:ind w:firstLine="632" w:firstLineChars="200"/>
        <w:rPr>
          <w:rFonts w:hint="eastAsia"/>
        </w:rPr>
      </w:pPr>
      <w:r>
        <w:rPr>
          <w:rFonts w:hint="eastAsia" w:ascii="黑体" w:eastAsia="黑体"/>
        </w:rPr>
        <w:t>第五条</w:t>
      </w:r>
      <w:r>
        <w:rPr>
          <w:rFonts w:hint="eastAsia"/>
        </w:rPr>
        <w:t xml:space="preserve"> 财政性资金竞争性存放银行的实施方式采用竞争性方式。单期存放银行个数不少于3家，存款期限为一年。</w:t>
      </w:r>
    </w:p>
    <w:p>
      <w:pPr>
        <w:pStyle w:val="17"/>
        <w:shd w:val="clear" w:color="auto" w:fill="FFFFFF"/>
        <w:spacing w:line="574" w:lineRule="exact"/>
        <w:ind w:firstLine="632" w:firstLineChars="200"/>
        <w:jc w:val="both"/>
        <w:rPr>
          <w:sz w:val="32"/>
          <w:szCs w:val="32"/>
        </w:rPr>
      </w:pPr>
      <w:r>
        <w:rPr>
          <w:rFonts w:eastAsia="黑体"/>
          <w:sz w:val="32"/>
          <w:szCs w:val="32"/>
        </w:rPr>
        <w:t>第</w:t>
      </w:r>
      <w:r>
        <w:rPr>
          <w:rFonts w:hint="eastAsia" w:eastAsia="黑体"/>
          <w:sz w:val="32"/>
          <w:szCs w:val="32"/>
        </w:rPr>
        <w:t>六</w:t>
      </w:r>
      <w:r>
        <w:rPr>
          <w:rFonts w:eastAsia="黑体"/>
          <w:sz w:val="32"/>
          <w:szCs w:val="32"/>
        </w:rPr>
        <w:t>条</w:t>
      </w:r>
      <w:r>
        <w:rPr>
          <w:rFonts w:hint="eastAsia" w:eastAsia="黑体"/>
          <w:sz w:val="32"/>
          <w:szCs w:val="32"/>
        </w:rPr>
        <w:t xml:space="preserve"> </w:t>
      </w:r>
      <w:r>
        <w:rPr>
          <w:sz w:val="32"/>
          <w:szCs w:val="32"/>
        </w:rPr>
        <w:t>财政</w:t>
      </w:r>
      <w:r>
        <w:rPr>
          <w:rFonts w:hint="eastAsia"/>
          <w:sz w:val="32"/>
          <w:szCs w:val="32"/>
        </w:rPr>
        <w:t>性</w:t>
      </w:r>
      <w:r>
        <w:rPr>
          <w:sz w:val="32"/>
          <w:szCs w:val="32"/>
        </w:rPr>
        <w:t>资金竞争性存放应遵循以下原则：</w:t>
      </w:r>
    </w:p>
    <w:p>
      <w:pPr>
        <w:spacing w:line="574" w:lineRule="exact"/>
        <w:ind w:firstLine="632" w:firstLineChars="200"/>
      </w:pPr>
      <w:r>
        <w:rPr>
          <w:rFonts w:hint="eastAsia"/>
        </w:rPr>
        <w:t>（一）</w:t>
      </w:r>
      <w:r>
        <w:t>依法合规。资金存放应当符合法律法规和政策规定，符合廉政建设要求。</w:t>
      </w:r>
    </w:p>
    <w:p>
      <w:pPr>
        <w:spacing w:line="574" w:lineRule="exact"/>
        <w:ind w:firstLine="632" w:firstLineChars="200"/>
      </w:pPr>
      <w:r>
        <w:rPr>
          <w:rFonts w:hint="eastAsia"/>
        </w:rPr>
        <w:t>（二）</w:t>
      </w:r>
      <w:r>
        <w:t>公正透明。选择资金存放银行应当公开、公平、公正，程序透明，结果透明，兼顾效率。</w:t>
      </w:r>
    </w:p>
    <w:p>
      <w:pPr>
        <w:spacing w:line="574" w:lineRule="exact"/>
        <w:ind w:firstLine="632" w:firstLineChars="200"/>
      </w:pPr>
      <w:r>
        <w:rPr>
          <w:rFonts w:hint="eastAsia"/>
        </w:rPr>
        <w:t>（三）</w:t>
      </w:r>
      <w:r>
        <w:t>安全优先。资金存放应当以确保资金安全为前提，充分评估资金存放银行经营状况，防止出现资金安全风险事件。</w:t>
      </w:r>
    </w:p>
    <w:p>
      <w:pPr>
        <w:spacing w:line="574" w:lineRule="exact"/>
        <w:ind w:firstLine="632" w:firstLineChars="200"/>
        <w:rPr>
          <w:rFonts w:hint="eastAsia"/>
          <w:highlight w:val="yellow"/>
        </w:rPr>
      </w:pPr>
      <w:r>
        <w:rPr>
          <w:rFonts w:hint="eastAsia"/>
        </w:rPr>
        <w:t>（四）</w:t>
      </w:r>
      <w:r>
        <w:t>科学评估。综合考虑资金安全性、流动性、资金收益等因素，科学设置资金存放银行评选指标。</w:t>
      </w:r>
    </w:p>
    <w:p>
      <w:pPr>
        <w:spacing w:line="574" w:lineRule="exact"/>
        <w:ind w:firstLine="632" w:firstLineChars="200"/>
      </w:pPr>
      <w:r>
        <w:rPr>
          <w:rFonts w:hint="eastAsia"/>
        </w:rPr>
        <w:t>（五）</w:t>
      </w:r>
      <w:r>
        <w:t>权责统一。实施资金存放的单位应当履行资金存放管理主体责任，组织好资金存放管理工作，保证资金存放平稳有序。</w:t>
      </w:r>
    </w:p>
    <w:p>
      <w:pPr>
        <w:spacing w:line="574" w:lineRule="exact"/>
        <w:jc w:val="center"/>
        <w:rPr>
          <w:rFonts w:hint="eastAsia" w:ascii="黑体" w:eastAsia="黑体"/>
        </w:rPr>
      </w:pPr>
      <w:r>
        <w:rPr>
          <w:rFonts w:hint="eastAsia" w:ascii="黑体" w:eastAsia="黑体"/>
        </w:rPr>
        <w:t>第二章 财政性资金竞争性存放范围和条件</w:t>
      </w:r>
    </w:p>
    <w:p>
      <w:pPr>
        <w:spacing w:line="574" w:lineRule="exact"/>
        <w:ind w:firstLine="632" w:firstLineChars="200"/>
        <w:rPr>
          <w:color w:val="000000" w:themeColor="text1"/>
        </w:rPr>
      </w:pPr>
      <w:r>
        <w:rPr>
          <w:rFonts w:hint="eastAsia" w:ascii="黑体" w:eastAsia="黑体"/>
          <w:color w:val="000000" w:themeColor="text1"/>
        </w:rPr>
        <w:t>第七条</w:t>
      </w:r>
      <w:r>
        <w:rPr>
          <w:rFonts w:hint="eastAsia"/>
          <w:color w:val="000000" w:themeColor="text1"/>
        </w:rPr>
        <w:t xml:space="preserve"> </w:t>
      </w:r>
      <w:r>
        <w:rPr>
          <w:color w:val="000000" w:themeColor="text1"/>
        </w:rPr>
        <w:t>本办法</w:t>
      </w:r>
      <w:r>
        <w:rPr>
          <w:rFonts w:hint="eastAsia"/>
          <w:color w:val="000000" w:themeColor="text1"/>
        </w:rPr>
        <w:t>所称银行</w:t>
      </w:r>
      <w:r>
        <w:rPr>
          <w:color w:val="000000" w:themeColor="text1"/>
        </w:rPr>
        <w:t>，是指</w:t>
      </w:r>
      <w:r>
        <w:rPr>
          <w:rFonts w:hint="eastAsia"/>
          <w:color w:val="000000" w:themeColor="text1"/>
        </w:rPr>
        <w:t>国有政策性银行、国有商业银行、股份制商业银行、城市商业银行、农村商业银行等营业地在伊春市的银行</w:t>
      </w:r>
      <w:r>
        <w:rPr>
          <w:color w:val="000000" w:themeColor="text1"/>
        </w:rPr>
        <w:t>。</w:t>
      </w:r>
    </w:p>
    <w:p>
      <w:pPr>
        <w:spacing w:line="574" w:lineRule="exact"/>
        <w:ind w:firstLine="632" w:firstLineChars="200"/>
      </w:pPr>
      <w:r>
        <w:rPr>
          <w:rFonts w:hint="eastAsia" w:ascii="黑体" w:eastAsia="黑体"/>
        </w:rPr>
        <w:t>第八条</w:t>
      </w:r>
      <w:r>
        <w:rPr>
          <w:rFonts w:hint="eastAsia"/>
        </w:rPr>
        <w:t xml:space="preserve"> </w:t>
      </w:r>
      <w:r>
        <w:t>银行参与市级财政</w:t>
      </w:r>
      <w:r>
        <w:rPr>
          <w:rFonts w:hint="eastAsia"/>
        </w:rPr>
        <w:t>性</w:t>
      </w:r>
      <w:r>
        <w:t>资金竞争性存放应符合</w:t>
      </w:r>
      <w:r>
        <w:rPr>
          <w:rFonts w:hint="eastAsia"/>
        </w:rPr>
        <w:t>（但不限于）</w:t>
      </w:r>
      <w:r>
        <w:t>下列条件</w:t>
      </w:r>
      <w:r>
        <w:rPr>
          <w:rFonts w:hint="eastAsia"/>
        </w:rPr>
        <w:t>（由伊春金融监管分局负责监管审核）</w:t>
      </w:r>
      <w:r>
        <w:t>：</w:t>
      </w:r>
    </w:p>
    <w:p>
      <w:pPr>
        <w:spacing w:line="574" w:lineRule="exact"/>
        <w:ind w:firstLine="632" w:firstLineChars="200"/>
      </w:pPr>
      <w:r>
        <w:t>（一）依法持有《金融机构营业许可证》，以及市场监督管理部门颁发的营业执照</w:t>
      </w:r>
      <w:r>
        <w:rPr>
          <w:rFonts w:hint="eastAsia"/>
        </w:rPr>
        <w:t>，并</w:t>
      </w:r>
      <w:r>
        <w:t>且</w:t>
      </w:r>
      <w:r>
        <w:rPr>
          <w:rFonts w:hint="eastAsia"/>
        </w:rPr>
        <w:t>按规定在国家信用信息公示系统进行信息公示。</w:t>
      </w:r>
    </w:p>
    <w:p>
      <w:pPr>
        <w:spacing w:line="574" w:lineRule="exact"/>
        <w:ind w:firstLine="632" w:firstLineChars="200"/>
      </w:pPr>
      <w:r>
        <w:t>（二）依法开展经营活动，</w:t>
      </w:r>
      <w:r>
        <w:rPr>
          <w:rFonts w:hint="eastAsia"/>
        </w:rPr>
        <w:t>业务稳定，安全可靠，</w:t>
      </w:r>
      <w:r>
        <w:t>信誉良好</w:t>
      </w:r>
      <w:r>
        <w:rPr>
          <w:rFonts w:hint="eastAsia"/>
        </w:rPr>
        <w:t>。</w:t>
      </w:r>
    </w:p>
    <w:p>
      <w:pPr>
        <w:spacing w:line="574" w:lineRule="exact"/>
        <w:ind w:firstLine="632" w:firstLineChars="200"/>
        <w:rPr>
          <w:rFonts w:hint="eastAsia"/>
        </w:rPr>
      </w:pPr>
      <w:r>
        <w:t>（三）财务稳健，资</w:t>
      </w:r>
      <w:r>
        <w:rPr>
          <w:rFonts w:hint="eastAsia"/>
        </w:rPr>
        <w:t>金</w:t>
      </w:r>
      <w:r>
        <w:t>充足</w:t>
      </w:r>
      <w:r>
        <w:rPr>
          <w:rFonts w:hint="eastAsia"/>
        </w:rPr>
        <w:t>率、不良贷款率、拨备覆盖率、流动性比例等指标达到监管标准。</w:t>
      </w:r>
    </w:p>
    <w:p>
      <w:pPr>
        <w:spacing w:line="574" w:lineRule="exact"/>
        <w:ind w:firstLine="632" w:firstLineChars="200"/>
        <w:rPr>
          <w:color w:val="000000"/>
          <w:szCs w:val="32"/>
        </w:rPr>
      </w:pPr>
      <w:r>
        <w:rPr>
          <w:color w:val="000000"/>
          <w:szCs w:val="32"/>
        </w:rPr>
        <w:t>（四）内部管理机制健全，具有较强的风险控制能力，</w:t>
      </w:r>
      <w:r>
        <w:rPr>
          <w:rFonts w:hint="eastAsia" w:ascii="仿宋_GB2312"/>
          <w:color w:val="000000"/>
          <w:szCs w:val="32"/>
        </w:rPr>
        <w:t>近3</w:t>
      </w:r>
      <w:r>
        <w:rPr>
          <w:color w:val="000000"/>
          <w:szCs w:val="32"/>
        </w:rPr>
        <w:t>年内未发生金融风险及重大违约事件。</w:t>
      </w:r>
    </w:p>
    <w:p>
      <w:pPr>
        <w:pStyle w:val="17"/>
        <w:shd w:val="clear" w:color="auto" w:fill="FFFFFF"/>
        <w:spacing w:line="574" w:lineRule="exact"/>
        <w:ind w:firstLine="474" w:firstLineChars="150"/>
        <w:jc w:val="center"/>
        <w:rPr>
          <w:rFonts w:ascii="黑体" w:hAnsi="黑体" w:eastAsia="黑体"/>
          <w:color w:val="000000"/>
          <w:sz w:val="32"/>
          <w:szCs w:val="32"/>
        </w:rPr>
      </w:pPr>
      <w:r>
        <w:rPr>
          <w:rFonts w:hint="eastAsia" w:ascii="黑体" w:hAnsi="黑体" w:eastAsia="黑体"/>
          <w:color w:val="000000"/>
          <w:sz w:val="32"/>
          <w:szCs w:val="32"/>
        </w:rPr>
        <w:t>第三章  职责分工</w:t>
      </w:r>
    </w:p>
    <w:p>
      <w:pPr>
        <w:shd w:val="clear" w:color="auto" w:fill="FFFFFF"/>
        <w:spacing w:line="574" w:lineRule="exact"/>
        <w:ind w:firstLine="632" w:firstLineChars="200"/>
        <w:rPr>
          <w:rFonts w:hint="eastAsia" w:eastAsia="黑体"/>
          <w:szCs w:val="32"/>
        </w:rPr>
      </w:pPr>
      <w:r>
        <w:rPr>
          <w:rFonts w:hint="eastAsia" w:ascii="黑体" w:hAnsi="黑体" w:eastAsia="黑体" w:cs="仿宋_GB2312"/>
          <w:kern w:val="0"/>
          <w:szCs w:val="32"/>
        </w:rPr>
        <w:t>第九条</w:t>
      </w:r>
      <w:r>
        <w:rPr>
          <w:rFonts w:hint="eastAsia" w:ascii="仿宋_GB2312" w:hAnsi="仿宋_GB2312" w:cs="仿宋_GB2312"/>
          <w:kern w:val="0"/>
          <w:szCs w:val="32"/>
        </w:rPr>
        <w:t xml:space="preserve"> 成立领导小组。成立</w:t>
      </w:r>
      <w:r>
        <w:rPr>
          <w:rFonts w:hint="eastAsia" w:ascii="仿宋_GB2312" w:hAnsi="方正小标宋简体" w:cs="方正小标宋简体"/>
          <w:szCs w:val="32"/>
        </w:rPr>
        <w:t>伊春市市级财政性资金竞争性存放</w:t>
      </w:r>
      <w:r>
        <w:rPr>
          <w:rFonts w:hint="eastAsia" w:ascii="仿宋_GB2312" w:hAnsi="仿宋_GB2312" w:cs="仿宋_GB2312"/>
          <w:color w:val="000000"/>
          <w:szCs w:val="32"/>
        </w:rPr>
        <w:t>工作领导小组</w:t>
      </w:r>
      <w:r>
        <w:rPr>
          <w:rFonts w:hint="eastAsia" w:ascii="仿宋_GB2312" w:hAnsi="仿宋_GB2312" w:cs="仿宋_GB2312"/>
          <w:szCs w:val="32"/>
        </w:rPr>
        <w:t>，</w:t>
      </w:r>
      <w:r>
        <w:rPr>
          <w:rFonts w:hint="eastAsia" w:ascii="仿宋_GB2312" w:hAnsi="宋体" w:cs="仿宋_GB2312"/>
          <w:kern w:val="0"/>
          <w:szCs w:val="32"/>
        </w:rPr>
        <w:t>组长为市政府分管负责同志，成员为市财政局、人民银行伊春市分行、伊春金融监管分局、市税务局等部门。</w:t>
      </w:r>
    </w:p>
    <w:p>
      <w:pPr>
        <w:shd w:val="clear" w:color="auto" w:fill="FFFFFF"/>
        <w:spacing w:line="574" w:lineRule="exact"/>
        <w:ind w:firstLine="632" w:firstLineChars="200"/>
        <w:rPr>
          <w:color w:val="000000"/>
          <w:szCs w:val="32"/>
        </w:rPr>
      </w:pPr>
      <w:r>
        <w:rPr>
          <w:rFonts w:eastAsia="黑体"/>
          <w:szCs w:val="32"/>
        </w:rPr>
        <w:t>第</w:t>
      </w:r>
      <w:r>
        <w:rPr>
          <w:rFonts w:hint="eastAsia" w:eastAsia="黑体"/>
          <w:szCs w:val="32"/>
        </w:rPr>
        <w:t>十</w:t>
      </w:r>
      <w:r>
        <w:rPr>
          <w:rFonts w:eastAsia="黑体"/>
          <w:szCs w:val="32"/>
        </w:rPr>
        <w:t>条</w:t>
      </w:r>
      <w:r>
        <w:rPr>
          <w:rFonts w:hint="eastAsia" w:eastAsia="黑体"/>
          <w:szCs w:val="32"/>
        </w:rPr>
        <w:t xml:space="preserve"> </w:t>
      </w:r>
      <w:r>
        <w:rPr>
          <w:rFonts w:hint="eastAsia" w:ascii="仿宋_GB2312" w:hAnsi="仿宋_GB2312" w:cs="仿宋_GB2312"/>
          <w:szCs w:val="32"/>
        </w:rPr>
        <w:t>市财政局协调相关部门根据年度财政性资金收入支出情况，</w:t>
      </w:r>
      <w:r>
        <w:rPr>
          <w:rFonts w:hint="eastAsia"/>
          <w:color w:val="000000"/>
          <w:szCs w:val="32"/>
        </w:rPr>
        <w:t>制定财政性资金</w:t>
      </w:r>
      <w:r>
        <w:rPr>
          <w:color w:val="000000"/>
          <w:szCs w:val="32"/>
        </w:rPr>
        <w:t>竞争性存放资金额度</w:t>
      </w:r>
      <w:r>
        <w:rPr>
          <w:rFonts w:hint="eastAsia"/>
          <w:color w:val="000000"/>
          <w:szCs w:val="32"/>
        </w:rPr>
        <w:t>计划</w:t>
      </w:r>
      <w:r>
        <w:rPr>
          <w:szCs w:val="32"/>
        </w:rPr>
        <w:t>。</w:t>
      </w:r>
    </w:p>
    <w:p>
      <w:pPr>
        <w:pStyle w:val="17"/>
        <w:shd w:val="clear" w:color="auto" w:fill="FFFFFF"/>
        <w:spacing w:line="574" w:lineRule="exact"/>
        <w:ind w:firstLine="632" w:firstLineChars="200"/>
        <w:rPr>
          <w:rFonts w:ascii="Times New Roman" w:hAnsi="Times New Roman" w:eastAsia="黑体"/>
          <w:sz w:val="32"/>
          <w:szCs w:val="32"/>
        </w:rPr>
      </w:pPr>
      <w:r>
        <w:rPr>
          <w:rFonts w:ascii="Times New Roman" w:hAnsi="Times New Roman" w:eastAsia="黑体"/>
          <w:sz w:val="32"/>
          <w:szCs w:val="32"/>
        </w:rPr>
        <w:t>第</w:t>
      </w:r>
      <w:r>
        <w:rPr>
          <w:rFonts w:hint="eastAsia" w:ascii="Times New Roman" w:hAnsi="Times New Roman" w:eastAsia="黑体"/>
          <w:sz w:val="32"/>
          <w:szCs w:val="32"/>
        </w:rPr>
        <w:t>十一</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hint="eastAsia" w:ascii="仿宋_GB2312" w:hAnsi="Times New Roman"/>
          <w:sz w:val="32"/>
          <w:szCs w:val="32"/>
        </w:rPr>
        <w:t>市财政局负责组织实施</w:t>
      </w:r>
      <w:r>
        <w:rPr>
          <w:rFonts w:ascii="Times New Roman" w:hAnsi="Times New Roman"/>
          <w:color w:val="000000"/>
          <w:sz w:val="32"/>
          <w:szCs w:val="32"/>
        </w:rPr>
        <w:t>市级财政</w:t>
      </w:r>
      <w:r>
        <w:rPr>
          <w:rFonts w:hint="eastAsia" w:ascii="Times New Roman" w:hAnsi="Times New Roman"/>
          <w:color w:val="000000"/>
          <w:sz w:val="32"/>
          <w:szCs w:val="32"/>
        </w:rPr>
        <w:t>性</w:t>
      </w:r>
      <w:r>
        <w:rPr>
          <w:rFonts w:ascii="Times New Roman" w:hAnsi="Times New Roman"/>
          <w:color w:val="000000"/>
          <w:sz w:val="32"/>
          <w:szCs w:val="32"/>
        </w:rPr>
        <w:t>资金</w:t>
      </w:r>
      <w:r>
        <w:rPr>
          <w:rFonts w:hint="eastAsia" w:ascii="Times New Roman" w:hAnsi="Times New Roman"/>
          <w:color w:val="000000"/>
          <w:sz w:val="32"/>
          <w:szCs w:val="32"/>
        </w:rPr>
        <w:t>竞争性</w:t>
      </w:r>
      <w:r>
        <w:rPr>
          <w:rFonts w:ascii="Times New Roman" w:hAnsi="Times New Roman"/>
          <w:color w:val="000000"/>
          <w:sz w:val="32"/>
          <w:szCs w:val="32"/>
        </w:rPr>
        <w:t>存放</w:t>
      </w:r>
      <w:r>
        <w:rPr>
          <w:rFonts w:hint="eastAsia" w:ascii="Times New Roman" w:hAnsi="Times New Roman"/>
          <w:color w:val="000000"/>
          <w:sz w:val="32"/>
          <w:szCs w:val="32"/>
        </w:rPr>
        <w:t>工作，并将财政性资金竞争性存放结果报市政府备案</w:t>
      </w:r>
      <w:r>
        <w:rPr>
          <w:rFonts w:ascii="Times New Roman" w:hAnsi="Times New Roman"/>
          <w:color w:val="000000"/>
          <w:sz w:val="32"/>
          <w:szCs w:val="32"/>
        </w:rPr>
        <w:t>。</w:t>
      </w:r>
    </w:p>
    <w:p>
      <w:pPr>
        <w:pStyle w:val="17"/>
        <w:shd w:val="clear" w:color="auto" w:fill="FFFFFF"/>
        <w:spacing w:line="574" w:lineRule="exact"/>
        <w:ind w:firstLine="632" w:firstLineChars="200"/>
        <w:jc w:val="both"/>
        <w:rPr>
          <w:rFonts w:hint="eastAsia" w:ascii="Times New Roman" w:hAnsi="Times New Roman"/>
          <w:sz w:val="32"/>
          <w:szCs w:val="32"/>
        </w:rPr>
      </w:pPr>
      <w:r>
        <w:rPr>
          <w:rFonts w:hint="eastAsia" w:ascii="黑体" w:hAnsi="黑体" w:eastAsia="黑体"/>
          <w:color w:val="000000"/>
          <w:sz w:val="32"/>
          <w:szCs w:val="32"/>
        </w:rPr>
        <w:t>第十二条</w:t>
      </w:r>
      <w:r>
        <w:rPr>
          <w:rFonts w:hint="eastAsia" w:ascii="Times New Roman" w:hAnsi="Times New Roman"/>
          <w:color w:val="000000"/>
          <w:sz w:val="32"/>
          <w:szCs w:val="32"/>
        </w:rPr>
        <w:t xml:space="preserve"> </w:t>
      </w:r>
      <w:r>
        <w:rPr>
          <w:rFonts w:hint="eastAsia" w:ascii="仿宋_GB2312" w:hAnsi="宋体" w:cs="仿宋_GB2312"/>
          <w:sz w:val="32"/>
          <w:szCs w:val="32"/>
        </w:rPr>
        <w:t>市财政局、人民银行伊春市分行、市税务局、伊春金融监管分局等部门</w:t>
      </w:r>
      <w:r>
        <w:rPr>
          <w:rFonts w:hint="eastAsia" w:ascii="Times New Roman" w:hAnsi="Times New Roman"/>
          <w:color w:val="000000"/>
          <w:sz w:val="32"/>
          <w:szCs w:val="32"/>
        </w:rPr>
        <w:t>负责制定</w:t>
      </w:r>
      <w:r>
        <w:rPr>
          <w:rFonts w:ascii="Times New Roman" w:hAnsi="Times New Roman"/>
          <w:color w:val="000000"/>
          <w:sz w:val="32"/>
          <w:szCs w:val="32"/>
        </w:rPr>
        <w:t>银行评价指标</w:t>
      </w:r>
      <w:r>
        <w:rPr>
          <w:rFonts w:hint="eastAsia" w:ascii="Times New Roman" w:hAnsi="Times New Roman"/>
          <w:color w:val="000000"/>
          <w:sz w:val="32"/>
          <w:szCs w:val="32"/>
        </w:rPr>
        <w:t>评分办法</w:t>
      </w:r>
      <w:r>
        <w:rPr>
          <w:rFonts w:ascii="Times New Roman" w:hAnsi="Times New Roman"/>
          <w:color w:val="000000"/>
          <w:sz w:val="32"/>
          <w:szCs w:val="32"/>
        </w:rPr>
        <w:t>。</w:t>
      </w:r>
      <w:r>
        <w:rPr>
          <w:rFonts w:ascii="Times New Roman" w:hAnsi="Times New Roman"/>
          <w:sz w:val="32"/>
          <w:szCs w:val="32"/>
        </w:rPr>
        <w:t>综合考虑财政资金安全性、流动性、支持经济发展、收益性等因素，科学设置评分指标。评分指标原则上包括</w:t>
      </w:r>
      <w:r>
        <w:rPr>
          <w:rFonts w:hint="eastAsia" w:ascii="Times New Roman" w:hAnsi="Times New Roman"/>
          <w:sz w:val="32"/>
          <w:szCs w:val="32"/>
        </w:rPr>
        <w:t>定期存款利率上浮水平</w:t>
      </w:r>
      <w:r>
        <w:rPr>
          <w:rFonts w:ascii="Times New Roman" w:hAnsi="Times New Roman"/>
          <w:sz w:val="32"/>
          <w:szCs w:val="32"/>
        </w:rPr>
        <w:t>、</w:t>
      </w:r>
      <w:r>
        <w:rPr>
          <w:rFonts w:hint="eastAsia" w:ascii="Times New Roman" w:hAnsi="Times New Roman"/>
          <w:sz w:val="32"/>
          <w:szCs w:val="32"/>
        </w:rPr>
        <w:t>贷款及重点领域贷款支持情况、对地方</w:t>
      </w:r>
      <w:r>
        <w:rPr>
          <w:rFonts w:ascii="Times New Roman" w:hAnsi="Times New Roman"/>
          <w:sz w:val="32"/>
          <w:szCs w:val="32"/>
        </w:rPr>
        <w:t>贡献</w:t>
      </w:r>
      <w:r>
        <w:rPr>
          <w:rFonts w:hint="eastAsia" w:ascii="Times New Roman" w:hAnsi="Times New Roman"/>
          <w:sz w:val="32"/>
          <w:szCs w:val="32"/>
        </w:rPr>
        <w:t>、</w:t>
      </w:r>
      <w:r>
        <w:rPr>
          <w:rFonts w:hint="eastAsia" w:ascii="仿宋_GB2312" w:hAnsi="仿宋_GB2312" w:cs="仿宋_GB2312"/>
          <w:sz w:val="32"/>
          <w:szCs w:val="32"/>
          <w:shd w:val="clear" w:color="auto" w:fill="FFFFFF"/>
        </w:rPr>
        <w:t>防范地方政府债务风险、银行风险情况、</w:t>
      </w:r>
      <w:r>
        <w:rPr>
          <w:rFonts w:hint="eastAsia" w:ascii="仿宋_GB2312" w:hAnsi="仿宋_GB2312" w:cs="仿宋_GB2312"/>
          <w:sz w:val="32"/>
          <w:szCs w:val="32"/>
        </w:rPr>
        <w:t>支持市政府重点工作情况</w:t>
      </w:r>
      <w:r>
        <w:rPr>
          <w:rFonts w:hint="eastAsia" w:ascii="仿宋_GB2312" w:hAnsi="仿宋_GB2312" w:cs="仿宋_GB2312"/>
          <w:bCs/>
          <w:sz w:val="32"/>
          <w:szCs w:val="32"/>
        </w:rPr>
        <w:t>等</w:t>
      </w:r>
      <w:r>
        <w:rPr>
          <w:rFonts w:ascii="Times New Roman" w:hAnsi="Times New Roman"/>
          <w:sz w:val="32"/>
          <w:szCs w:val="32"/>
        </w:rPr>
        <w:t>。</w:t>
      </w:r>
    </w:p>
    <w:p>
      <w:pPr>
        <w:pStyle w:val="17"/>
        <w:shd w:val="clear" w:color="auto" w:fill="FFFFFF"/>
        <w:spacing w:line="574" w:lineRule="exact"/>
        <w:ind w:firstLine="474" w:firstLineChars="150"/>
        <w:jc w:val="both"/>
        <w:rPr>
          <w:rFonts w:hint="eastAsia" w:ascii="仿宋_GB2312" w:hAnsi="Times New Roman"/>
          <w:color w:val="FF0000"/>
          <w:sz w:val="32"/>
          <w:szCs w:val="32"/>
        </w:rPr>
      </w:pPr>
      <w:r>
        <w:rPr>
          <w:rFonts w:hint="eastAsia" w:ascii="Times New Roman" w:hAnsi="Times New Roman"/>
          <w:color w:val="000000"/>
          <w:sz w:val="32"/>
          <w:szCs w:val="32"/>
        </w:rPr>
        <w:t xml:space="preserve"> </w:t>
      </w:r>
      <w:r>
        <w:rPr>
          <w:rFonts w:hint="eastAsia" w:ascii="黑体" w:hAnsi="黑体" w:eastAsia="黑体"/>
          <w:color w:val="000000"/>
          <w:sz w:val="32"/>
          <w:szCs w:val="32"/>
        </w:rPr>
        <w:t>第十三条</w:t>
      </w:r>
      <w:r>
        <w:rPr>
          <w:rFonts w:hint="eastAsia" w:ascii="Times New Roman" w:hAnsi="Times New Roman"/>
          <w:sz w:val="32"/>
          <w:szCs w:val="32"/>
        </w:rPr>
        <w:t xml:space="preserve"> 财政性资金竞争性存放银行的选择采用竞争性方式。</w:t>
      </w:r>
      <w:r>
        <w:rPr>
          <w:rFonts w:hint="eastAsia"/>
          <w:color w:val="000000"/>
          <w:sz w:val="32"/>
          <w:szCs w:val="32"/>
        </w:rPr>
        <w:t>竞争性方式是指资金存放主体就选择资金存放银行事宜公开邀请银行报名参与竞争，采用综合评分法进行评分，根据评分结果择优确定资金存放银行。</w:t>
      </w:r>
      <w:r>
        <w:rPr>
          <w:rFonts w:hint="eastAsia" w:ascii="Times New Roman" w:hAnsi="Times New Roman"/>
          <w:sz w:val="32"/>
          <w:szCs w:val="32"/>
        </w:rPr>
        <w:t>具体流程按照</w:t>
      </w:r>
      <w:r>
        <w:rPr>
          <w:rFonts w:ascii="Times New Roman" w:hAnsi="Times New Roman"/>
          <w:sz w:val="32"/>
          <w:szCs w:val="32"/>
        </w:rPr>
        <w:t>《黑龙江省财政厅转发</w:t>
      </w:r>
      <w:r>
        <w:rPr>
          <w:rFonts w:hint="eastAsia" w:ascii="仿宋_GB2312" w:hAnsi="Times New Roman"/>
          <w:sz w:val="32"/>
          <w:szCs w:val="32"/>
        </w:rPr>
        <w:t>财政部关于进一步加强财政部门和预算单位资金存放管理的指导意见的通知》（黑财库〔2017〕74号）相关规定执行。</w:t>
      </w:r>
    </w:p>
    <w:p>
      <w:pPr>
        <w:spacing w:line="574" w:lineRule="exact"/>
        <w:ind w:firstLine="632" w:firstLineChars="200"/>
        <w:jc w:val="center"/>
        <w:rPr>
          <w:rFonts w:hint="eastAsia" w:ascii="黑体" w:hAnsi="黑体" w:eastAsia="黑体" w:cs="CESI黑体-GB2312"/>
          <w:szCs w:val="32"/>
        </w:rPr>
      </w:pPr>
      <w:r>
        <w:rPr>
          <w:rFonts w:hint="eastAsia" w:ascii="黑体" w:hAnsi="黑体" w:eastAsia="黑体" w:cs="CESI黑体-GB2312"/>
          <w:szCs w:val="32"/>
        </w:rPr>
        <w:t xml:space="preserve">第四章  </w:t>
      </w:r>
      <w:r>
        <w:rPr>
          <w:rFonts w:eastAsia="黑体"/>
          <w:color w:val="000000"/>
          <w:szCs w:val="32"/>
        </w:rPr>
        <w:t>管理监督与相关责任</w:t>
      </w:r>
    </w:p>
    <w:p>
      <w:pPr>
        <w:spacing w:line="574" w:lineRule="exact"/>
        <w:ind w:firstLine="632" w:firstLineChars="200"/>
        <w:rPr>
          <w:rFonts w:hint="eastAsia" w:ascii="仿宋_GB2312" w:hAnsi="宋体" w:cs="仿宋_GB2312"/>
          <w:kern w:val="0"/>
          <w:szCs w:val="32"/>
        </w:rPr>
      </w:pPr>
      <w:r>
        <w:rPr>
          <w:rFonts w:hint="eastAsia" w:ascii="黑体" w:hAnsi="黑体" w:eastAsia="黑体" w:cs="仿宋_GB2312"/>
          <w:kern w:val="0"/>
          <w:szCs w:val="32"/>
        </w:rPr>
        <w:t>第十四条</w:t>
      </w:r>
      <w:r>
        <w:rPr>
          <w:rFonts w:hint="eastAsia" w:ascii="仿宋_GB2312" w:hAnsi="宋体" w:cs="仿宋_GB2312"/>
          <w:kern w:val="0"/>
          <w:szCs w:val="32"/>
        </w:rPr>
        <w:t xml:space="preserve"> 财政性资金竞争性存放和回收按照财政资金管理相关规定执行。如遇国家和省有关政策调整以及提取、贷款业务需要，将提前支取全部或部分资金时，存放银行应积极配合办理。</w:t>
      </w:r>
    </w:p>
    <w:p>
      <w:pPr>
        <w:spacing w:line="574" w:lineRule="exact"/>
        <w:ind w:firstLine="632" w:firstLineChars="200"/>
        <w:rPr>
          <w:rFonts w:hint="eastAsia" w:ascii="仿宋_GB2312" w:hAnsi="宋体" w:cs="仿宋_GB2312"/>
          <w:kern w:val="0"/>
          <w:szCs w:val="32"/>
        </w:rPr>
      </w:pPr>
      <w:r>
        <w:rPr>
          <w:rFonts w:hint="eastAsia" w:ascii="黑体" w:hAnsi="黑体" w:eastAsia="黑体" w:cs="仿宋_GB2312"/>
          <w:kern w:val="0"/>
          <w:szCs w:val="32"/>
        </w:rPr>
        <w:t>第十五条</w:t>
      </w:r>
      <w:r>
        <w:rPr>
          <w:rFonts w:hint="eastAsia" w:ascii="仿宋_GB2312" w:hAnsi="宋体" w:cs="仿宋_GB2312"/>
          <w:kern w:val="0"/>
          <w:szCs w:val="32"/>
        </w:rPr>
        <w:t xml:space="preserve"> 市财政局应与存款银行签订协议，全面、清晰界定双方权利和义务。
</w:t>
      </w:r>
    </w:p>
    <w:p>
      <w:pPr>
        <w:spacing w:line="574" w:lineRule="exact"/>
        <w:ind w:firstLine="632" w:firstLineChars="200"/>
        <w:rPr>
          <w:rFonts w:hint="eastAsia" w:ascii="仿宋_GB2312" w:hAnsi="宋体" w:cs="仿宋_GB2312"/>
          <w:kern w:val="0"/>
          <w:szCs w:val="32"/>
        </w:rPr>
      </w:pPr>
      <w:r>
        <w:rPr>
          <w:rFonts w:hint="eastAsia" w:ascii="黑体" w:hAnsi="黑体" w:eastAsia="黑体" w:cs="仿宋_GB2312"/>
          <w:kern w:val="0"/>
          <w:szCs w:val="32"/>
        </w:rPr>
        <w:t>第十六条</w:t>
      </w:r>
      <w:r>
        <w:rPr>
          <w:rFonts w:hint="eastAsia" w:ascii="仿宋_GB2312" w:hAnsi="宋体" w:cs="仿宋_GB2312"/>
          <w:kern w:val="0"/>
          <w:szCs w:val="32"/>
        </w:rPr>
        <w:t xml:space="preserve"> 伊春金融监管分局等部门负责在财政性资金存放期间对存放银行就存放资金进行及时核查，加强监管。有确凿证据表明存放银行出现以下情形的，及时通知市财政局提前收回存放资金，三年内暂停该</w:t>
      </w:r>
      <w:r>
        <w:rPr>
          <w:rFonts w:ascii="仿宋_GB2312" w:hAnsi="仿宋_GB2312" w:cs="仿宋_GB2312"/>
          <w:szCs w:val="32"/>
        </w:rPr>
        <w:t>机构</w:t>
      </w:r>
      <w:r>
        <w:rPr>
          <w:rFonts w:hint="eastAsia" w:ascii="仿宋_GB2312" w:hAnsi="宋体" w:cs="仿宋_GB2312"/>
          <w:kern w:val="0"/>
          <w:szCs w:val="32"/>
        </w:rPr>
        <w:t>参加评选资格；情节严重的，根据有关法律、法规、规章的规定移送相关部门处理；涉嫌犯罪的，移送司法机关处理：</w:t>
      </w:r>
    </w:p>
    <w:p>
      <w:pPr>
        <w:spacing w:line="574" w:lineRule="exact"/>
        <w:ind w:firstLine="632" w:firstLineChars="200"/>
        <w:rPr>
          <w:rFonts w:hint="eastAsia" w:ascii="仿宋_GB2312" w:hAnsi="宋体" w:cs="仿宋_GB2312"/>
          <w:kern w:val="0"/>
          <w:szCs w:val="32"/>
        </w:rPr>
      </w:pPr>
      <w:r>
        <w:rPr>
          <w:rFonts w:hint="eastAsia" w:ascii="仿宋_GB2312" w:hAnsi="宋体" w:cs="仿宋_GB2312"/>
          <w:kern w:val="0"/>
          <w:szCs w:val="32"/>
        </w:rPr>
        <w:t>（一）出现资金安全事故、重大违规违法行为或财务状况恶化的;
</w:t>
      </w:r>
    </w:p>
    <w:p>
      <w:pPr>
        <w:spacing w:line="574" w:lineRule="exact"/>
        <w:ind w:firstLine="632" w:firstLineChars="200"/>
        <w:rPr>
          <w:rFonts w:hint="eastAsia" w:ascii="仿宋_GB2312" w:hAnsi="宋体" w:cs="仿宋_GB2312"/>
          <w:kern w:val="0"/>
          <w:szCs w:val="32"/>
        </w:rPr>
      </w:pPr>
      <w:r>
        <w:rPr>
          <w:rFonts w:hint="eastAsia" w:ascii="仿宋_GB2312" w:hAnsi="宋体" w:cs="仿宋_GB2312"/>
          <w:kern w:val="0"/>
          <w:szCs w:val="32"/>
        </w:rPr>
        <w:t>（二）</w:t>
      </w:r>
      <w:r>
        <w:rPr>
          <w:color w:val="000000"/>
          <w:szCs w:val="32"/>
        </w:rPr>
        <w:t>监管评级降低，</w:t>
      </w:r>
      <w:r>
        <w:rPr>
          <w:rFonts w:hint="eastAsia" w:ascii="仿宋_GB2312" w:hAnsi="宋体" w:cs="仿宋_GB2312"/>
          <w:kern w:val="0"/>
          <w:szCs w:val="32"/>
        </w:rPr>
        <w:t>金融监管部门认为该受托</w:t>
      </w:r>
      <w:r>
        <w:rPr>
          <w:rFonts w:ascii="仿宋_GB2312" w:hAnsi="仿宋_GB2312" w:cs="仿宋_GB2312"/>
          <w:szCs w:val="32"/>
        </w:rPr>
        <w:t>银行业金融机构</w:t>
      </w:r>
      <w:r>
        <w:rPr>
          <w:rFonts w:hint="eastAsia" w:ascii="仿宋_GB2312" w:hAnsi="宋体" w:cs="仿宋_GB2312"/>
          <w:kern w:val="0"/>
          <w:szCs w:val="32"/>
        </w:rPr>
        <w:t>存在较大运营风险的;</w:t>
      </w:r>
    </w:p>
    <w:p>
      <w:pPr>
        <w:spacing w:line="574" w:lineRule="exact"/>
        <w:ind w:firstLine="632" w:firstLineChars="200"/>
        <w:rPr>
          <w:rFonts w:hint="eastAsia" w:ascii="仿宋_GB2312" w:hAnsi="宋体" w:cs="仿宋_GB2312"/>
          <w:kern w:val="0"/>
          <w:szCs w:val="32"/>
        </w:rPr>
      </w:pPr>
      <w:r>
        <w:rPr>
          <w:rFonts w:hint="eastAsia" w:ascii="仿宋_GB2312" w:hAnsi="宋体" w:cs="仿宋_GB2312"/>
          <w:kern w:val="0"/>
          <w:szCs w:val="32"/>
        </w:rPr>
        <w:t>（三）未按照签订的协议承诺履行相应的责任和义务或擅自降低服务条件、变更服务内容的;
</w:t>
      </w:r>
    </w:p>
    <w:p>
      <w:pPr>
        <w:spacing w:line="574" w:lineRule="exact"/>
        <w:ind w:firstLine="632" w:firstLineChars="200"/>
        <w:rPr>
          <w:rFonts w:hint="eastAsia" w:ascii="仿宋_GB2312" w:hAnsi="宋体" w:cs="仿宋_GB2312"/>
          <w:kern w:val="0"/>
          <w:szCs w:val="32"/>
        </w:rPr>
      </w:pPr>
      <w:r>
        <w:rPr>
          <w:rFonts w:hint="eastAsia" w:ascii="仿宋_GB2312" w:hAnsi="宋体" w:cs="仿宋_GB2312"/>
          <w:kern w:val="0"/>
          <w:szCs w:val="32"/>
        </w:rPr>
        <w:t>（四）财政性资金存放银行未在存放资金到期后及时结清本息并划转至指定收款账户的;
</w:t>
      </w:r>
    </w:p>
    <w:p>
      <w:pPr>
        <w:spacing w:line="574" w:lineRule="exact"/>
        <w:ind w:firstLine="632" w:firstLineChars="200"/>
        <w:rPr>
          <w:rFonts w:hint="eastAsia" w:ascii="仿宋_GB2312" w:hAnsi="宋体" w:cs="仿宋_GB2312"/>
          <w:kern w:val="0"/>
          <w:szCs w:val="32"/>
        </w:rPr>
      </w:pPr>
      <w:r>
        <w:rPr>
          <w:rFonts w:hint="eastAsia" w:ascii="仿宋_GB2312" w:hAnsi="宋体" w:cs="仿宋_GB2312"/>
          <w:kern w:val="0"/>
          <w:szCs w:val="32"/>
        </w:rPr>
        <w:t>（五）在评分中存在严重不正当行为或影响财政性资金存放公平的；
</w:t>
      </w:r>
    </w:p>
    <w:p>
      <w:pPr>
        <w:spacing w:line="574" w:lineRule="exact"/>
        <w:ind w:firstLine="632" w:firstLineChars="200"/>
        <w:rPr>
          <w:rFonts w:hint="eastAsia" w:ascii="仿宋_GB2312" w:hAnsi="宋体" w:cs="仿宋_GB2312"/>
          <w:kern w:val="0"/>
          <w:szCs w:val="32"/>
        </w:rPr>
      </w:pPr>
      <w:r>
        <w:rPr>
          <w:rFonts w:hint="eastAsia" w:ascii="仿宋_GB2312" w:hAnsi="宋体" w:cs="仿宋_GB2312"/>
          <w:kern w:val="0"/>
          <w:szCs w:val="32"/>
        </w:rPr>
        <w:t>（六）出现银行挤兑、存款被盗的情形。</w:t>
      </w:r>
    </w:p>
    <w:p>
      <w:pPr>
        <w:pStyle w:val="17"/>
        <w:shd w:val="clear" w:color="auto" w:fill="FFFFFF"/>
        <w:spacing w:line="574" w:lineRule="exact"/>
        <w:ind w:firstLine="632" w:firstLineChars="200"/>
        <w:rPr>
          <w:rFonts w:ascii="Times New Roman" w:hAnsi="Times New Roman"/>
          <w:color w:val="000000"/>
          <w:sz w:val="32"/>
          <w:szCs w:val="32"/>
        </w:rPr>
      </w:pPr>
      <w:r>
        <w:rPr>
          <w:rFonts w:ascii="Times New Roman" w:hAnsi="Times New Roman"/>
          <w:color w:val="000000"/>
          <w:sz w:val="32"/>
          <w:szCs w:val="32"/>
        </w:rPr>
        <w:t>（</w:t>
      </w:r>
      <w:r>
        <w:rPr>
          <w:rFonts w:hint="eastAsia" w:ascii="Times New Roman" w:hAnsi="Times New Roman"/>
          <w:color w:val="000000"/>
          <w:sz w:val="32"/>
          <w:szCs w:val="32"/>
        </w:rPr>
        <w:t>七</w:t>
      </w:r>
      <w:r>
        <w:rPr>
          <w:rFonts w:ascii="Times New Roman" w:hAnsi="Times New Roman"/>
          <w:color w:val="000000"/>
          <w:sz w:val="32"/>
          <w:szCs w:val="32"/>
        </w:rPr>
        <w:t>）其他妨害存放资金安全的情形。</w:t>
      </w:r>
    </w:p>
    <w:p>
      <w:pPr>
        <w:spacing w:line="574" w:lineRule="exact"/>
        <w:ind w:firstLine="632" w:firstLineChars="200"/>
        <w:rPr>
          <w:rFonts w:hint="eastAsia" w:ascii="仿宋_GB2312" w:hAnsi="黑体" w:cs="仿宋_GB2312"/>
          <w:color w:val="000000"/>
          <w:kern w:val="0"/>
          <w:szCs w:val="32"/>
        </w:rPr>
      </w:pPr>
      <w:r>
        <w:rPr>
          <w:rFonts w:ascii="黑体" w:hAnsi="黑体" w:eastAsia="黑体" w:cs="仿宋_GB2312"/>
          <w:kern w:val="0"/>
          <w:szCs w:val="32"/>
        </w:rPr>
        <w:t>第十七条</w:t>
      </w:r>
      <w:r>
        <w:rPr>
          <w:rFonts w:hint="eastAsia" w:ascii="黑体" w:hAnsi="黑体" w:eastAsia="黑体" w:cs="仿宋_GB2312"/>
          <w:b/>
          <w:kern w:val="0"/>
          <w:szCs w:val="32"/>
        </w:rPr>
        <w:t xml:space="preserve"> </w:t>
      </w:r>
      <w:r>
        <w:rPr>
          <w:rFonts w:hint="eastAsia" w:ascii="仿宋_GB2312" w:hAnsi="黑体" w:cs="仿宋_GB2312"/>
          <w:color w:val="000000"/>
          <w:kern w:val="0"/>
          <w:szCs w:val="32"/>
        </w:rPr>
        <w:t>参选银行应向财政性资金竞争性存放领导小组办公室出具廉政承诺书，承诺不得向相关单位人员输送任何利益，承诺不得将资金存放与相关单位人员在本银行亲属的业绩、收入挂钩。</w:t>
      </w:r>
    </w:p>
    <w:p>
      <w:pPr>
        <w:spacing w:line="574" w:lineRule="exact"/>
        <w:ind w:firstLine="632" w:firstLineChars="200"/>
        <w:jc w:val="center"/>
        <w:rPr>
          <w:rFonts w:hint="eastAsia" w:ascii="仿宋_GB2312" w:hAnsi="宋体" w:cs="仿宋_GB2312"/>
          <w:kern w:val="0"/>
          <w:szCs w:val="32"/>
        </w:rPr>
      </w:pPr>
      <w:r>
        <w:rPr>
          <w:rFonts w:hint="eastAsia" w:ascii="黑体" w:hAnsi="黑体" w:eastAsia="黑体" w:cs="黑体"/>
          <w:kern w:val="0"/>
          <w:szCs w:val="32"/>
        </w:rPr>
        <w:t>第五章 附 则</w:t>
      </w:r>
      <w:r>
        <w:rPr>
          <w:rFonts w:hint="eastAsia" w:ascii="仿宋_GB2312" w:hAnsi="宋体" w:cs="仿宋_GB2312"/>
          <w:kern w:val="0"/>
          <w:szCs w:val="32"/>
        </w:rPr>
        <w:t>
</w:t>
      </w:r>
    </w:p>
    <w:p>
      <w:pPr>
        <w:pStyle w:val="2"/>
        <w:spacing w:before="0" w:after="0" w:line="574" w:lineRule="exact"/>
        <w:ind w:firstLine="632" w:firstLineChars="200"/>
        <w:rPr>
          <w:rFonts w:ascii="仿宋_GB2312" w:cs="仿宋_GB2312"/>
          <w:b w:val="0"/>
          <w:kern w:val="0"/>
          <w:sz w:val="32"/>
          <w:szCs w:val="32"/>
        </w:rPr>
      </w:pPr>
      <w:r>
        <w:rPr>
          <w:rFonts w:ascii="黑体" w:hAnsi="黑体" w:eastAsia="黑体" w:cs="仿宋_GB2312"/>
          <w:b w:val="0"/>
          <w:kern w:val="0"/>
          <w:sz w:val="32"/>
          <w:szCs w:val="32"/>
        </w:rPr>
        <w:t>第十八条</w:t>
      </w:r>
      <w:r>
        <w:rPr>
          <w:rFonts w:ascii="黑体" w:hAnsi="黑体" w:eastAsia="黑体" w:cs="仿宋_GB2312"/>
          <w:kern w:val="0"/>
          <w:sz w:val="32"/>
          <w:szCs w:val="32"/>
        </w:rPr>
        <w:t xml:space="preserve"> </w:t>
      </w:r>
      <w:r>
        <w:rPr>
          <w:rFonts w:ascii="仿宋_GB2312" w:cs="仿宋_GB2312"/>
          <w:b w:val="0"/>
          <w:kern w:val="0"/>
          <w:sz w:val="32"/>
          <w:szCs w:val="32"/>
        </w:rPr>
        <w:t>本办法可根据市政府决策部署进行调整</w:t>
      </w:r>
      <w:r>
        <w:rPr>
          <w:rFonts w:hint="eastAsia" w:ascii="仿宋_GB2312" w:cs="仿宋_GB2312"/>
          <w:b w:val="0"/>
          <w:kern w:val="0"/>
          <w:sz w:val="32"/>
          <w:szCs w:val="32"/>
        </w:rPr>
        <w:t>。</w:t>
      </w:r>
      <w:r>
        <w:rPr>
          <w:rFonts w:ascii="仿宋_GB2312" w:cs="仿宋_GB2312"/>
          <w:b w:val="0"/>
          <w:kern w:val="0"/>
          <w:sz w:val="32"/>
          <w:szCs w:val="32"/>
        </w:rPr>
        <w:t>如需调整，由相关单位于年度评选工作结束后次年第一季度内提出，报市政府审批通过后实施</w:t>
      </w:r>
      <w:r>
        <w:rPr>
          <w:rFonts w:hint="eastAsia" w:ascii="仿宋_GB2312" w:cs="仿宋_GB2312"/>
          <w:b w:val="0"/>
          <w:kern w:val="0"/>
          <w:sz w:val="32"/>
          <w:szCs w:val="32"/>
        </w:rPr>
        <w:t>。</w:t>
      </w:r>
      <w:r>
        <w:rPr>
          <w:rFonts w:ascii="仿宋_GB2312" w:cs="仿宋_GB2312"/>
          <w:b w:val="0"/>
          <w:kern w:val="0"/>
          <w:sz w:val="32"/>
          <w:szCs w:val="32"/>
        </w:rPr>
        <w:t>如无调整内容，以后年度继续按本办法实施。</w:t>
      </w:r>
    </w:p>
    <w:p>
      <w:pPr>
        <w:spacing w:line="574" w:lineRule="exact"/>
        <w:ind w:firstLine="632" w:firstLineChars="200"/>
        <w:rPr>
          <w:rFonts w:hint="eastAsia" w:ascii="仿宋_GB2312" w:hAnsi="宋体" w:cs="仿宋_GB2312"/>
          <w:kern w:val="0"/>
          <w:szCs w:val="32"/>
        </w:rPr>
      </w:pPr>
      <w:r>
        <w:rPr>
          <w:rFonts w:hint="eastAsia" w:ascii="黑体" w:hAnsi="黑体" w:eastAsia="黑体" w:cs="仿宋_GB2312"/>
          <w:kern w:val="0"/>
          <w:szCs w:val="32"/>
        </w:rPr>
        <w:t>第十九条</w:t>
      </w:r>
      <w:r>
        <w:rPr>
          <w:rFonts w:hint="eastAsia" w:ascii="仿宋_GB2312" w:hAnsi="宋体" w:cs="仿宋_GB2312"/>
          <w:kern w:val="0"/>
          <w:szCs w:val="32"/>
        </w:rPr>
        <w:t xml:space="preserve"> 财政性资金竞争性存放工作接受各有关部门和社会的监督。任何人不得以任何方式干涉财政性资金竞争性存放相关工作。对财政性资金存放工作中出现的违法违规问题，要依法依规追究有关责任人员的责任。
</w:t>
      </w:r>
    </w:p>
    <w:p>
      <w:pPr>
        <w:spacing w:line="574" w:lineRule="exact"/>
        <w:ind w:firstLine="632" w:firstLineChars="200"/>
        <w:rPr>
          <w:rFonts w:hint="eastAsia" w:ascii="仿宋_GB2312" w:hAnsi="宋体" w:cs="仿宋_GB2312"/>
          <w:kern w:val="0"/>
          <w:szCs w:val="32"/>
        </w:rPr>
      </w:pPr>
      <w:r>
        <w:rPr>
          <w:rFonts w:hint="eastAsia" w:ascii="黑体" w:hAnsi="黑体" w:eastAsia="黑体" w:cs="仿宋_GB2312"/>
          <w:kern w:val="0"/>
          <w:szCs w:val="32"/>
        </w:rPr>
        <w:t>第二十条</w:t>
      </w:r>
      <w:r>
        <w:rPr>
          <w:rFonts w:hint="eastAsia" w:ascii="仿宋_GB2312" w:hAnsi="宋体" w:cs="仿宋_GB2312"/>
          <w:kern w:val="0"/>
          <w:szCs w:val="32"/>
        </w:rPr>
        <w:t xml:space="preserve"> 本办法由市财政局负责解释。</w:t>
      </w:r>
    </w:p>
    <w:p>
      <w:pPr>
        <w:spacing w:line="574" w:lineRule="exact"/>
        <w:ind w:firstLine="632" w:firstLineChars="200"/>
        <w:rPr>
          <w:rFonts w:hint="eastAsia" w:ascii="仿宋_GB2312" w:hAnsi="仿宋_GB2312" w:cs="仿宋_GB2312"/>
          <w:szCs w:val="32"/>
        </w:rPr>
      </w:pPr>
      <w:r>
        <w:rPr>
          <w:rFonts w:hint="eastAsia" w:ascii="黑体" w:hAnsi="黑体" w:eastAsia="黑体" w:cs="仿宋_GB2312"/>
          <w:kern w:val="0"/>
          <w:szCs w:val="32"/>
        </w:rPr>
        <w:t xml:space="preserve">第二十一条 </w:t>
      </w:r>
      <w:r>
        <w:rPr>
          <w:rFonts w:hint="eastAsia" w:ascii="仿宋_GB2312" w:hAnsi="仿宋_GB2312" w:cs="仿宋_GB2312"/>
          <w:szCs w:val="32"/>
        </w:rPr>
        <w:t>本办法自印发之日起实施。</w:t>
      </w:r>
    </w:p>
    <w:p>
      <w:pPr>
        <w:spacing w:line="574" w:lineRule="exact"/>
        <w:jc w:val="center"/>
        <w:rPr>
          <w:rFonts w:hint="eastAsia" w:ascii="华文中宋" w:hAnsi="华文中宋" w:eastAsia="华文中宋"/>
          <w:sz w:val="44"/>
        </w:rPr>
      </w:pPr>
    </w:p>
    <w:p>
      <w:pPr>
        <w:tabs>
          <w:tab w:val="left" w:pos="8058"/>
        </w:tabs>
        <w:spacing w:line="574" w:lineRule="exact"/>
        <w:rPr>
          <w:rFonts w:hint="eastAsia" w:ascii="仿宋_GB2312" w:hAnsi="楷体_GB2312" w:cs="楷体_GB2312"/>
          <w:position w:val="10"/>
          <w:sz w:val="28"/>
          <w:szCs w:val="28"/>
          <w:u w:val="single"/>
        </w:rPr>
      </w:pPr>
    </w:p>
    <w:p>
      <w:pPr>
        <w:spacing w:line="574" w:lineRule="exact"/>
      </w:pPr>
    </w:p>
    <w:sectPr>
      <w:headerReference r:id="rId3" w:type="default"/>
      <w:footerReference r:id="rId4" w:type="default"/>
      <w:footerReference r:id="rId5" w:type="even"/>
      <w:pgSz w:w="11906" w:h="16838"/>
      <w:pgMar w:top="2098" w:right="1416" w:bottom="568" w:left="1588" w:header="1701" w:footer="170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8"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inherit">
    <w:altName w:val="Noto Serif CJK JP"/>
    <w:panose1 w:val="00000000000000000000"/>
    <w:charset w:val="00"/>
    <w:family w:val="roman"/>
    <w:pitch w:val="default"/>
    <w:sig w:usb0="00000000" w:usb1="00000000" w:usb2="00000000" w:usb3="00000000" w:csb0="00040001" w:csb1="00000000"/>
  </w:font>
  <w:font w:name="Cambria">
    <w:altName w:val="Noto Sans Syriac Eastern"/>
    <w:panose1 w:val="02040503050406030204"/>
    <w:charset w:val="00"/>
    <w:family w:val="roman"/>
    <w:pitch w:val="default"/>
    <w:sig w:usb0="00000000" w:usb1="00000000" w:usb2="00000000" w:usb3="00000000" w:csb0="0000009F" w:csb1="00000000"/>
  </w:font>
  <w:font w:name="Courier New">
    <w:altName w:val="DejaVu Sans"/>
    <w:panose1 w:val="02070309020205020404"/>
    <w:charset w:val="00"/>
    <w:family w:val="modern"/>
    <w:pitch w:val="default"/>
    <w:sig w:usb0="00000000" w:usb1="00000000" w:usb2="00000008" w:usb3="00000000" w:csb0="000001FF"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0000000000000000000"/>
    <w:charset w:val="00"/>
    <w:family w:val="auto"/>
    <w:pitch w:val="default"/>
    <w:sig w:usb0="00000000" w:usb1="00000000"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oto Serif CJK JP">
    <w:panose1 w:val="02020400000000000000"/>
    <w:charset w:val="86"/>
    <w:family w:val="auto"/>
    <w:pitch w:val="default"/>
    <w:sig w:usb0="30000083" w:usb1="2BDF3C10" w:usb2="00000016" w:usb3="00000000" w:csb0="602E0107" w:csb1="00000000"/>
  </w:font>
  <w:font w:name="Noto Sans CJK JP Bold">
    <w:panose1 w:val="020B0800000000000000"/>
    <w:charset w:val="86"/>
    <w:family w:val="auto"/>
    <w:pitch w:val="default"/>
    <w:sig w:usb0="30000003" w:usb1="2BDF3C10" w:usb2="00000016" w:usb3="00000000" w:csb0="602E0107" w:csb1="00000000"/>
  </w:font>
  <w:font w:name="CESI仿宋-GB2312">
    <w:panose1 w:val="02000500000000000000"/>
    <w:charset w:val="86"/>
    <w:family w:val="auto"/>
    <w:pitch w:val="default"/>
    <w:sig w:usb0="800002AF" w:usb1="084F6CF8" w:usb2="00000010" w:usb3="00000000" w:csb0="0004000F"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5161" w:y="26"/>
      <w:ind w:left="320" w:leftChars="100" w:right="320" w:rightChars="100"/>
      <w:rPr>
        <w:rStyle w:val="23"/>
        <w:rFonts w:ascii="宋体" w:hAnsi="宋体" w:eastAsia="宋体"/>
        <w:sz w:val="28"/>
        <w:szCs w:val="28"/>
      </w:rPr>
    </w:pPr>
    <w:r>
      <w:rPr>
        <w:rStyle w:val="23"/>
        <w:rFonts w:hint="eastAsia" w:ascii="宋体" w:hAnsi="宋体" w:eastAsia="宋体"/>
        <w:sz w:val="28"/>
        <w:szCs w:val="28"/>
      </w:rPr>
      <w:t xml:space="preserve">— </w:t>
    </w:r>
    <w:r>
      <w:rPr>
        <w:rStyle w:val="23"/>
        <w:rFonts w:ascii="宋体" w:hAnsi="宋体" w:eastAsia="宋体"/>
        <w:sz w:val="28"/>
        <w:szCs w:val="28"/>
      </w:rPr>
      <w:fldChar w:fldCharType="begin"/>
    </w:r>
    <w:r>
      <w:rPr>
        <w:rStyle w:val="23"/>
        <w:rFonts w:ascii="宋体" w:hAnsi="宋体" w:eastAsia="宋体"/>
        <w:sz w:val="28"/>
        <w:szCs w:val="28"/>
      </w:rPr>
      <w:instrText xml:space="preserve">PAGE  </w:instrText>
    </w:r>
    <w:r>
      <w:rPr>
        <w:rStyle w:val="23"/>
        <w:rFonts w:ascii="宋体" w:hAnsi="宋体" w:eastAsia="宋体"/>
        <w:sz w:val="28"/>
        <w:szCs w:val="28"/>
      </w:rPr>
      <w:fldChar w:fldCharType="separate"/>
    </w:r>
    <w:r>
      <w:rPr>
        <w:rStyle w:val="23"/>
        <w:rFonts w:ascii="宋体" w:hAnsi="宋体" w:eastAsia="宋体"/>
        <w:sz w:val="28"/>
        <w:szCs w:val="28"/>
      </w:rPr>
      <w:t>1</w:t>
    </w:r>
    <w:r>
      <w:rPr>
        <w:rStyle w:val="23"/>
        <w:rFonts w:ascii="宋体" w:hAnsi="宋体" w:eastAsia="宋体"/>
        <w:sz w:val="28"/>
        <w:szCs w:val="28"/>
      </w:rPr>
      <w:fldChar w:fldCharType="end"/>
    </w:r>
    <w:r>
      <w:rPr>
        <w:rStyle w:val="23"/>
        <w:rFonts w:hint="eastAsia" w:ascii="宋体" w:hAnsi="宋体" w:eastAsia="宋体"/>
        <w:sz w:val="28"/>
        <w:szCs w:val="28"/>
      </w:rPr>
      <w:t xml:space="preserve"> —</w:t>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end"/>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3F4"/>
    <w:rsid w:val="00000229"/>
    <w:rsid w:val="00003D76"/>
    <w:rsid w:val="0000499C"/>
    <w:rsid w:val="00004C2A"/>
    <w:rsid w:val="00007A8B"/>
    <w:rsid w:val="0001393A"/>
    <w:rsid w:val="00015BD3"/>
    <w:rsid w:val="00017049"/>
    <w:rsid w:val="0002008B"/>
    <w:rsid w:val="00020832"/>
    <w:rsid w:val="00020DBA"/>
    <w:rsid w:val="0002253F"/>
    <w:rsid w:val="00022F1D"/>
    <w:rsid w:val="00024590"/>
    <w:rsid w:val="00024BE4"/>
    <w:rsid w:val="000264E1"/>
    <w:rsid w:val="00026B73"/>
    <w:rsid w:val="00030F10"/>
    <w:rsid w:val="00032658"/>
    <w:rsid w:val="00033488"/>
    <w:rsid w:val="00033FAE"/>
    <w:rsid w:val="000344E3"/>
    <w:rsid w:val="00036D91"/>
    <w:rsid w:val="000404EB"/>
    <w:rsid w:val="0004386D"/>
    <w:rsid w:val="00044CB1"/>
    <w:rsid w:val="0005144F"/>
    <w:rsid w:val="00051C76"/>
    <w:rsid w:val="000527A0"/>
    <w:rsid w:val="00054E42"/>
    <w:rsid w:val="0005585E"/>
    <w:rsid w:val="0006339D"/>
    <w:rsid w:val="00071525"/>
    <w:rsid w:val="00074EE7"/>
    <w:rsid w:val="000773B3"/>
    <w:rsid w:val="00091817"/>
    <w:rsid w:val="0009567E"/>
    <w:rsid w:val="000968E7"/>
    <w:rsid w:val="000A2E0B"/>
    <w:rsid w:val="000A3E27"/>
    <w:rsid w:val="000A7860"/>
    <w:rsid w:val="000B3F39"/>
    <w:rsid w:val="000B525D"/>
    <w:rsid w:val="000B57E8"/>
    <w:rsid w:val="000B6DEF"/>
    <w:rsid w:val="000B713D"/>
    <w:rsid w:val="000B74A7"/>
    <w:rsid w:val="000B7630"/>
    <w:rsid w:val="000C3957"/>
    <w:rsid w:val="000C3E8D"/>
    <w:rsid w:val="000C4FBF"/>
    <w:rsid w:val="000D281F"/>
    <w:rsid w:val="000D35DA"/>
    <w:rsid w:val="000D3A61"/>
    <w:rsid w:val="000D4202"/>
    <w:rsid w:val="000E0D3F"/>
    <w:rsid w:val="000E2641"/>
    <w:rsid w:val="000E6A2D"/>
    <w:rsid w:val="000E6CE6"/>
    <w:rsid w:val="000F00A4"/>
    <w:rsid w:val="000F2E59"/>
    <w:rsid w:val="001010CF"/>
    <w:rsid w:val="00103EC4"/>
    <w:rsid w:val="00104FA3"/>
    <w:rsid w:val="00105237"/>
    <w:rsid w:val="00107C31"/>
    <w:rsid w:val="00112CA3"/>
    <w:rsid w:val="001220F4"/>
    <w:rsid w:val="00122DC9"/>
    <w:rsid w:val="00124C12"/>
    <w:rsid w:val="001255DA"/>
    <w:rsid w:val="0014160A"/>
    <w:rsid w:val="00144BED"/>
    <w:rsid w:val="00150DB0"/>
    <w:rsid w:val="0015118E"/>
    <w:rsid w:val="00151905"/>
    <w:rsid w:val="00153C5E"/>
    <w:rsid w:val="0016254F"/>
    <w:rsid w:val="00166549"/>
    <w:rsid w:val="00166767"/>
    <w:rsid w:val="00166968"/>
    <w:rsid w:val="001671A4"/>
    <w:rsid w:val="0017327E"/>
    <w:rsid w:val="0017483C"/>
    <w:rsid w:val="0017565C"/>
    <w:rsid w:val="0017575A"/>
    <w:rsid w:val="0018057A"/>
    <w:rsid w:val="0018094D"/>
    <w:rsid w:val="00180D99"/>
    <w:rsid w:val="00185F62"/>
    <w:rsid w:val="001905A2"/>
    <w:rsid w:val="00192148"/>
    <w:rsid w:val="0019402D"/>
    <w:rsid w:val="00194F31"/>
    <w:rsid w:val="00195775"/>
    <w:rsid w:val="001A1BF3"/>
    <w:rsid w:val="001A4012"/>
    <w:rsid w:val="001A7DA4"/>
    <w:rsid w:val="001B14F3"/>
    <w:rsid w:val="001B24E9"/>
    <w:rsid w:val="001B32D7"/>
    <w:rsid w:val="001B39D4"/>
    <w:rsid w:val="001B6E3B"/>
    <w:rsid w:val="001B77C8"/>
    <w:rsid w:val="001C05E5"/>
    <w:rsid w:val="001C1940"/>
    <w:rsid w:val="001C2C8F"/>
    <w:rsid w:val="001C325A"/>
    <w:rsid w:val="001C43B4"/>
    <w:rsid w:val="001C4AA5"/>
    <w:rsid w:val="001D0934"/>
    <w:rsid w:val="001D09FE"/>
    <w:rsid w:val="001D2009"/>
    <w:rsid w:val="001D3C0E"/>
    <w:rsid w:val="001D443D"/>
    <w:rsid w:val="001E4BB4"/>
    <w:rsid w:val="001E52AD"/>
    <w:rsid w:val="001E5C33"/>
    <w:rsid w:val="001F0EDC"/>
    <w:rsid w:val="001F5B8F"/>
    <w:rsid w:val="001F6A29"/>
    <w:rsid w:val="001F7B02"/>
    <w:rsid w:val="001F7E04"/>
    <w:rsid w:val="001F7E47"/>
    <w:rsid w:val="00200B68"/>
    <w:rsid w:val="00201129"/>
    <w:rsid w:val="00201341"/>
    <w:rsid w:val="0020161D"/>
    <w:rsid w:val="002025F9"/>
    <w:rsid w:val="00203D41"/>
    <w:rsid w:val="0020472C"/>
    <w:rsid w:val="00211288"/>
    <w:rsid w:val="00211BEE"/>
    <w:rsid w:val="00215133"/>
    <w:rsid w:val="002165F5"/>
    <w:rsid w:val="00224A56"/>
    <w:rsid w:val="00224E00"/>
    <w:rsid w:val="002251C9"/>
    <w:rsid w:val="002258D2"/>
    <w:rsid w:val="00226413"/>
    <w:rsid w:val="00226DCC"/>
    <w:rsid w:val="0022775D"/>
    <w:rsid w:val="002313F6"/>
    <w:rsid w:val="00231A5F"/>
    <w:rsid w:val="00236BE5"/>
    <w:rsid w:val="0023748C"/>
    <w:rsid w:val="00240FC2"/>
    <w:rsid w:val="0024172D"/>
    <w:rsid w:val="00244BFE"/>
    <w:rsid w:val="00246066"/>
    <w:rsid w:val="00246431"/>
    <w:rsid w:val="00251695"/>
    <w:rsid w:val="002540B3"/>
    <w:rsid w:val="002559A5"/>
    <w:rsid w:val="002579F3"/>
    <w:rsid w:val="00257AF4"/>
    <w:rsid w:val="00261CD9"/>
    <w:rsid w:val="00262C26"/>
    <w:rsid w:val="002631F4"/>
    <w:rsid w:val="002641C8"/>
    <w:rsid w:val="00264780"/>
    <w:rsid w:val="00265AB0"/>
    <w:rsid w:val="002712C9"/>
    <w:rsid w:val="0027157D"/>
    <w:rsid w:val="00271AAD"/>
    <w:rsid w:val="00273A8A"/>
    <w:rsid w:val="0027451A"/>
    <w:rsid w:val="002824F9"/>
    <w:rsid w:val="00282B76"/>
    <w:rsid w:val="002838B1"/>
    <w:rsid w:val="002841EE"/>
    <w:rsid w:val="00291882"/>
    <w:rsid w:val="00291FC2"/>
    <w:rsid w:val="00294561"/>
    <w:rsid w:val="00296710"/>
    <w:rsid w:val="002973C1"/>
    <w:rsid w:val="002A2FA3"/>
    <w:rsid w:val="002A3C63"/>
    <w:rsid w:val="002A5F06"/>
    <w:rsid w:val="002B05FD"/>
    <w:rsid w:val="002B0DC7"/>
    <w:rsid w:val="002B2EA0"/>
    <w:rsid w:val="002B5B8F"/>
    <w:rsid w:val="002B5DA1"/>
    <w:rsid w:val="002C5086"/>
    <w:rsid w:val="002C5E90"/>
    <w:rsid w:val="002C6576"/>
    <w:rsid w:val="002C6E46"/>
    <w:rsid w:val="002D2B3E"/>
    <w:rsid w:val="002D5D46"/>
    <w:rsid w:val="002D63C8"/>
    <w:rsid w:val="002D718B"/>
    <w:rsid w:val="002E0968"/>
    <w:rsid w:val="002E33B6"/>
    <w:rsid w:val="002F01A2"/>
    <w:rsid w:val="002F09A7"/>
    <w:rsid w:val="002F23ED"/>
    <w:rsid w:val="002F513C"/>
    <w:rsid w:val="002F5C04"/>
    <w:rsid w:val="002F641F"/>
    <w:rsid w:val="0030463E"/>
    <w:rsid w:val="00304FA2"/>
    <w:rsid w:val="00305FCC"/>
    <w:rsid w:val="00306B51"/>
    <w:rsid w:val="00306FED"/>
    <w:rsid w:val="003076CC"/>
    <w:rsid w:val="003103E7"/>
    <w:rsid w:val="00315201"/>
    <w:rsid w:val="0031652D"/>
    <w:rsid w:val="0032027C"/>
    <w:rsid w:val="00325563"/>
    <w:rsid w:val="00325D78"/>
    <w:rsid w:val="00334732"/>
    <w:rsid w:val="00335CAC"/>
    <w:rsid w:val="003458AD"/>
    <w:rsid w:val="00346317"/>
    <w:rsid w:val="00350BFF"/>
    <w:rsid w:val="003540C2"/>
    <w:rsid w:val="003565CB"/>
    <w:rsid w:val="003567F2"/>
    <w:rsid w:val="003568F1"/>
    <w:rsid w:val="00361809"/>
    <w:rsid w:val="00372138"/>
    <w:rsid w:val="00372ACB"/>
    <w:rsid w:val="00372B0A"/>
    <w:rsid w:val="003741AB"/>
    <w:rsid w:val="00377053"/>
    <w:rsid w:val="003805E3"/>
    <w:rsid w:val="00390B5D"/>
    <w:rsid w:val="003927AE"/>
    <w:rsid w:val="00392A5B"/>
    <w:rsid w:val="00395F83"/>
    <w:rsid w:val="0039605A"/>
    <w:rsid w:val="00396535"/>
    <w:rsid w:val="003966C9"/>
    <w:rsid w:val="003A096D"/>
    <w:rsid w:val="003A0C1A"/>
    <w:rsid w:val="003A13BB"/>
    <w:rsid w:val="003A1684"/>
    <w:rsid w:val="003A3A17"/>
    <w:rsid w:val="003A4CEE"/>
    <w:rsid w:val="003A5EC0"/>
    <w:rsid w:val="003A6E60"/>
    <w:rsid w:val="003A758A"/>
    <w:rsid w:val="003B1286"/>
    <w:rsid w:val="003B1704"/>
    <w:rsid w:val="003B1B62"/>
    <w:rsid w:val="003B1D8E"/>
    <w:rsid w:val="003B4F96"/>
    <w:rsid w:val="003B7378"/>
    <w:rsid w:val="003C327F"/>
    <w:rsid w:val="003C33CD"/>
    <w:rsid w:val="003C43C3"/>
    <w:rsid w:val="003C5A44"/>
    <w:rsid w:val="003C7EA2"/>
    <w:rsid w:val="003D36C2"/>
    <w:rsid w:val="003E2944"/>
    <w:rsid w:val="003E52AD"/>
    <w:rsid w:val="003E6032"/>
    <w:rsid w:val="003E76FC"/>
    <w:rsid w:val="003E7EFF"/>
    <w:rsid w:val="003F13A3"/>
    <w:rsid w:val="003F13EF"/>
    <w:rsid w:val="003F206F"/>
    <w:rsid w:val="003F4BF7"/>
    <w:rsid w:val="003F67AB"/>
    <w:rsid w:val="003F742A"/>
    <w:rsid w:val="0040729F"/>
    <w:rsid w:val="004079F4"/>
    <w:rsid w:val="00410212"/>
    <w:rsid w:val="0041127F"/>
    <w:rsid w:val="0041183B"/>
    <w:rsid w:val="004162AB"/>
    <w:rsid w:val="004169F6"/>
    <w:rsid w:val="00416F6E"/>
    <w:rsid w:val="004225DF"/>
    <w:rsid w:val="0042272E"/>
    <w:rsid w:val="00424EDC"/>
    <w:rsid w:val="00432A1D"/>
    <w:rsid w:val="004339B8"/>
    <w:rsid w:val="0043585B"/>
    <w:rsid w:val="00435956"/>
    <w:rsid w:val="00435BE1"/>
    <w:rsid w:val="004402A8"/>
    <w:rsid w:val="00441662"/>
    <w:rsid w:val="00442A2B"/>
    <w:rsid w:val="00444648"/>
    <w:rsid w:val="00456D8C"/>
    <w:rsid w:val="00457B66"/>
    <w:rsid w:val="00462428"/>
    <w:rsid w:val="00462996"/>
    <w:rsid w:val="00463238"/>
    <w:rsid w:val="00464074"/>
    <w:rsid w:val="00466BB7"/>
    <w:rsid w:val="00472CEC"/>
    <w:rsid w:val="0047475F"/>
    <w:rsid w:val="004768FC"/>
    <w:rsid w:val="00476EF7"/>
    <w:rsid w:val="00481F93"/>
    <w:rsid w:val="00482CE5"/>
    <w:rsid w:val="00485990"/>
    <w:rsid w:val="00487332"/>
    <w:rsid w:val="00491813"/>
    <w:rsid w:val="00493BDA"/>
    <w:rsid w:val="00493E60"/>
    <w:rsid w:val="00496EC7"/>
    <w:rsid w:val="004A062E"/>
    <w:rsid w:val="004B2153"/>
    <w:rsid w:val="004B2A39"/>
    <w:rsid w:val="004B5D1A"/>
    <w:rsid w:val="004B7749"/>
    <w:rsid w:val="004C3428"/>
    <w:rsid w:val="004C4A52"/>
    <w:rsid w:val="004C4B31"/>
    <w:rsid w:val="004C6BAB"/>
    <w:rsid w:val="004C747E"/>
    <w:rsid w:val="004D4513"/>
    <w:rsid w:val="004E1BB3"/>
    <w:rsid w:val="004E2B4F"/>
    <w:rsid w:val="004E5DF8"/>
    <w:rsid w:val="004E73BE"/>
    <w:rsid w:val="004F354C"/>
    <w:rsid w:val="00501FAF"/>
    <w:rsid w:val="005023B9"/>
    <w:rsid w:val="005034BB"/>
    <w:rsid w:val="005054A4"/>
    <w:rsid w:val="00510C21"/>
    <w:rsid w:val="00510C81"/>
    <w:rsid w:val="00511383"/>
    <w:rsid w:val="005146CC"/>
    <w:rsid w:val="005171F9"/>
    <w:rsid w:val="00520FD2"/>
    <w:rsid w:val="00522176"/>
    <w:rsid w:val="00525E48"/>
    <w:rsid w:val="00527F62"/>
    <w:rsid w:val="0053012E"/>
    <w:rsid w:val="00532896"/>
    <w:rsid w:val="00534651"/>
    <w:rsid w:val="0053510B"/>
    <w:rsid w:val="0053694F"/>
    <w:rsid w:val="0054263D"/>
    <w:rsid w:val="00544D9B"/>
    <w:rsid w:val="00546857"/>
    <w:rsid w:val="005476FD"/>
    <w:rsid w:val="00550E09"/>
    <w:rsid w:val="00551D93"/>
    <w:rsid w:val="005534ED"/>
    <w:rsid w:val="0056080E"/>
    <w:rsid w:val="00564CD6"/>
    <w:rsid w:val="0056572E"/>
    <w:rsid w:val="00565DF4"/>
    <w:rsid w:val="00572ADB"/>
    <w:rsid w:val="0057622B"/>
    <w:rsid w:val="005763FA"/>
    <w:rsid w:val="00580AC6"/>
    <w:rsid w:val="0058132C"/>
    <w:rsid w:val="005818C6"/>
    <w:rsid w:val="0058194E"/>
    <w:rsid w:val="005821A2"/>
    <w:rsid w:val="005829B0"/>
    <w:rsid w:val="0058404F"/>
    <w:rsid w:val="00586168"/>
    <w:rsid w:val="00587069"/>
    <w:rsid w:val="0058756B"/>
    <w:rsid w:val="00587C83"/>
    <w:rsid w:val="00587DEF"/>
    <w:rsid w:val="00592C6A"/>
    <w:rsid w:val="00593966"/>
    <w:rsid w:val="00593CB8"/>
    <w:rsid w:val="0059487C"/>
    <w:rsid w:val="00596321"/>
    <w:rsid w:val="00596F19"/>
    <w:rsid w:val="005977B6"/>
    <w:rsid w:val="005978A8"/>
    <w:rsid w:val="00597CCE"/>
    <w:rsid w:val="005A0707"/>
    <w:rsid w:val="005A0AF2"/>
    <w:rsid w:val="005A2846"/>
    <w:rsid w:val="005A2E14"/>
    <w:rsid w:val="005A3810"/>
    <w:rsid w:val="005A562F"/>
    <w:rsid w:val="005A6344"/>
    <w:rsid w:val="005A6A85"/>
    <w:rsid w:val="005B1950"/>
    <w:rsid w:val="005B4A16"/>
    <w:rsid w:val="005B63C9"/>
    <w:rsid w:val="005B732F"/>
    <w:rsid w:val="005C3D85"/>
    <w:rsid w:val="005C594E"/>
    <w:rsid w:val="005C64FF"/>
    <w:rsid w:val="005C7F20"/>
    <w:rsid w:val="005D3114"/>
    <w:rsid w:val="005D4905"/>
    <w:rsid w:val="005D56D1"/>
    <w:rsid w:val="005D5ADC"/>
    <w:rsid w:val="005D5F85"/>
    <w:rsid w:val="005E0E43"/>
    <w:rsid w:val="005E2258"/>
    <w:rsid w:val="005E36FE"/>
    <w:rsid w:val="005E483B"/>
    <w:rsid w:val="005E687C"/>
    <w:rsid w:val="005E7ABB"/>
    <w:rsid w:val="005E7FA9"/>
    <w:rsid w:val="005F3BFC"/>
    <w:rsid w:val="005F3FE2"/>
    <w:rsid w:val="005F4317"/>
    <w:rsid w:val="005F4A1D"/>
    <w:rsid w:val="005F6060"/>
    <w:rsid w:val="00600CFF"/>
    <w:rsid w:val="0060211F"/>
    <w:rsid w:val="00602C7C"/>
    <w:rsid w:val="006042FE"/>
    <w:rsid w:val="0060744C"/>
    <w:rsid w:val="00610605"/>
    <w:rsid w:val="0061175F"/>
    <w:rsid w:val="00611D0F"/>
    <w:rsid w:val="00614DCF"/>
    <w:rsid w:val="00615333"/>
    <w:rsid w:val="0062200A"/>
    <w:rsid w:val="00626048"/>
    <w:rsid w:val="00630F91"/>
    <w:rsid w:val="00631AC9"/>
    <w:rsid w:val="00632DB2"/>
    <w:rsid w:val="00633A98"/>
    <w:rsid w:val="00634F33"/>
    <w:rsid w:val="006419D3"/>
    <w:rsid w:val="006428A4"/>
    <w:rsid w:val="006435DB"/>
    <w:rsid w:val="006435EE"/>
    <w:rsid w:val="00644F6D"/>
    <w:rsid w:val="00646869"/>
    <w:rsid w:val="0064694B"/>
    <w:rsid w:val="006474A3"/>
    <w:rsid w:val="00647FF6"/>
    <w:rsid w:val="00650E66"/>
    <w:rsid w:val="006517F4"/>
    <w:rsid w:val="00652151"/>
    <w:rsid w:val="006522E7"/>
    <w:rsid w:val="006534F8"/>
    <w:rsid w:val="006546ED"/>
    <w:rsid w:val="00660AA1"/>
    <w:rsid w:val="00660EFB"/>
    <w:rsid w:val="0066192E"/>
    <w:rsid w:val="00662E14"/>
    <w:rsid w:val="00663F08"/>
    <w:rsid w:val="0066441A"/>
    <w:rsid w:val="006653FE"/>
    <w:rsid w:val="00671EAC"/>
    <w:rsid w:val="00672D7A"/>
    <w:rsid w:val="00672F34"/>
    <w:rsid w:val="006755D7"/>
    <w:rsid w:val="00677257"/>
    <w:rsid w:val="006776A9"/>
    <w:rsid w:val="00680F83"/>
    <w:rsid w:val="0068136E"/>
    <w:rsid w:val="006817CE"/>
    <w:rsid w:val="006853B2"/>
    <w:rsid w:val="00685EA1"/>
    <w:rsid w:val="00686A83"/>
    <w:rsid w:val="0069080C"/>
    <w:rsid w:val="0069082E"/>
    <w:rsid w:val="00690DDE"/>
    <w:rsid w:val="00691961"/>
    <w:rsid w:val="00692D36"/>
    <w:rsid w:val="00697381"/>
    <w:rsid w:val="006A0B17"/>
    <w:rsid w:val="006A4409"/>
    <w:rsid w:val="006B15FA"/>
    <w:rsid w:val="006B2571"/>
    <w:rsid w:val="006B2CAE"/>
    <w:rsid w:val="006B4037"/>
    <w:rsid w:val="006B746E"/>
    <w:rsid w:val="006C4AE3"/>
    <w:rsid w:val="006D2684"/>
    <w:rsid w:val="006D3343"/>
    <w:rsid w:val="006D68DC"/>
    <w:rsid w:val="006E4B73"/>
    <w:rsid w:val="006E6A89"/>
    <w:rsid w:val="006F1F0B"/>
    <w:rsid w:val="006F1F97"/>
    <w:rsid w:val="00700321"/>
    <w:rsid w:val="007005C4"/>
    <w:rsid w:val="0070157E"/>
    <w:rsid w:val="007033DE"/>
    <w:rsid w:val="00704FCB"/>
    <w:rsid w:val="00705C61"/>
    <w:rsid w:val="007134CE"/>
    <w:rsid w:val="00717FF1"/>
    <w:rsid w:val="0072271A"/>
    <w:rsid w:val="00723FBB"/>
    <w:rsid w:val="007261E5"/>
    <w:rsid w:val="00747F66"/>
    <w:rsid w:val="007500C5"/>
    <w:rsid w:val="00750CB7"/>
    <w:rsid w:val="007513EF"/>
    <w:rsid w:val="00756C90"/>
    <w:rsid w:val="00761A0D"/>
    <w:rsid w:val="00770914"/>
    <w:rsid w:val="007737D4"/>
    <w:rsid w:val="00776EE0"/>
    <w:rsid w:val="00777518"/>
    <w:rsid w:val="0077779B"/>
    <w:rsid w:val="00781C29"/>
    <w:rsid w:val="00782684"/>
    <w:rsid w:val="00785DAD"/>
    <w:rsid w:val="0079125A"/>
    <w:rsid w:val="00792123"/>
    <w:rsid w:val="0079630E"/>
    <w:rsid w:val="007A115E"/>
    <w:rsid w:val="007A1B3F"/>
    <w:rsid w:val="007A1FCB"/>
    <w:rsid w:val="007A545F"/>
    <w:rsid w:val="007A56B4"/>
    <w:rsid w:val="007A6B7A"/>
    <w:rsid w:val="007B010D"/>
    <w:rsid w:val="007B0EC2"/>
    <w:rsid w:val="007B405C"/>
    <w:rsid w:val="007B50F9"/>
    <w:rsid w:val="007B6BDA"/>
    <w:rsid w:val="007B72C6"/>
    <w:rsid w:val="007B76B8"/>
    <w:rsid w:val="007C0A0D"/>
    <w:rsid w:val="007C0DF4"/>
    <w:rsid w:val="007C1102"/>
    <w:rsid w:val="007C1CE9"/>
    <w:rsid w:val="007C4E00"/>
    <w:rsid w:val="007D576F"/>
    <w:rsid w:val="007D63EA"/>
    <w:rsid w:val="007D7E13"/>
    <w:rsid w:val="007E2B9A"/>
    <w:rsid w:val="007E2C3D"/>
    <w:rsid w:val="007E462E"/>
    <w:rsid w:val="007E5771"/>
    <w:rsid w:val="007E6E2A"/>
    <w:rsid w:val="007F0F7A"/>
    <w:rsid w:val="007F1FE6"/>
    <w:rsid w:val="007F2034"/>
    <w:rsid w:val="007F2EDE"/>
    <w:rsid w:val="007F67D0"/>
    <w:rsid w:val="0080000E"/>
    <w:rsid w:val="008054AE"/>
    <w:rsid w:val="00810BDE"/>
    <w:rsid w:val="00810FFA"/>
    <w:rsid w:val="00813319"/>
    <w:rsid w:val="00814A1D"/>
    <w:rsid w:val="00816ADF"/>
    <w:rsid w:val="00827BB8"/>
    <w:rsid w:val="00831C0B"/>
    <w:rsid w:val="00832193"/>
    <w:rsid w:val="00833D83"/>
    <w:rsid w:val="00834293"/>
    <w:rsid w:val="00834E86"/>
    <w:rsid w:val="00835D0A"/>
    <w:rsid w:val="00841D5F"/>
    <w:rsid w:val="00842018"/>
    <w:rsid w:val="008438D5"/>
    <w:rsid w:val="008449EA"/>
    <w:rsid w:val="00844EF2"/>
    <w:rsid w:val="00847F4D"/>
    <w:rsid w:val="008522E1"/>
    <w:rsid w:val="00852D64"/>
    <w:rsid w:val="00852FF3"/>
    <w:rsid w:val="008545B2"/>
    <w:rsid w:val="00856D5D"/>
    <w:rsid w:val="00861047"/>
    <w:rsid w:val="00861CD6"/>
    <w:rsid w:val="008620B8"/>
    <w:rsid w:val="008620E3"/>
    <w:rsid w:val="008629E4"/>
    <w:rsid w:val="0086697E"/>
    <w:rsid w:val="00866A2F"/>
    <w:rsid w:val="00866F34"/>
    <w:rsid w:val="00867426"/>
    <w:rsid w:val="00867C76"/>
    <w:rsid w:val="00871A15"/>
    <w:rsid w:val="008739AC"/>
    <w:rsid w:val="00874291"/>
    <w:rsid w:val="008800D4"/>
    <w:rsid w:val="00881575"/>
    <w:rsid w:val="00883E70"/>
    <w:rsid w:val="00884A87"/>
    <w:rsid w:val="00886113"/>
    <w:rsid w:val="00890962"/>
    <w:rsid w:val="00892DED"/>
    <w:rsid w:val="00892EF3"/>
    <w:rsid w:val="00893EB5"/>
    <w:rsid w:val="00893F63"/>
    <w:rsid w:val="00894D70"/>
    <w:rsid w:val="008957B2"/>
    <w:rsid w:val="00896FED"/>
    <w:rsid w:val="008A004F"/>
    <w:rsid w:val="008A05C0"/>
    <w:rsid w:val="008A1A97"/>
    <w:rsid w:val="008A1C25"/>
    <w:rsid w:val="008A5C97"/>
    <w:rsid w:val="008A6ADB"/>
    <w:rsid w:val="008A6C90"/>
    <w:rsid w:val="008A7B50"/>
    <w:rsid w:val="008B0371"/>
    <w:rsid w:val="008B14B0"/>
    <w:rsid w:val="008B2AEE"/>
    <w:rsid w:val="008B3D3F"/>
    <w:rsid w:val="008B4E8E"/>
    <w:rsid w:val="008C253C"/>
    <w:rsid w:val="008C3EDB"/>
    <w:rsid w:val="008D132A"/>
    <w:rsid w:val="008D36BB"/>
    <w:rsid w:val="008D3E10"/>
    <w:rsid w:val="008D52A2"/>
    <w:rsid w:val="008D53E7"/>
    <w:rsid w:val="008D58DA"/>
    <w:rsid w:val="008D5B86"/>
    <w:rsid w:val="008D70FD"/>
    <w:rsid w:val="008E0367"/>
    <w:rsid w:val="008E298E"/>
    <w:rsid w:val="008E321C"/>
    <w:rsid w:val="008E4E77"/>
    <w:rsid w:val="008E50D8"/>
    <w:rsid w:val="008E5F98"/>
    <w:rsid w:val="008E6B98"/>
    <w:rsid w:val="008E6E97"/>
    <w:rsid w:val="008F119B"/>
    <w:rsid w:val="008F2AF1"/>
    <w:rsid w:val="008F4791"/>
    <w:rsid w:val="008F47D4"/>
    <w:rsid w:val="008F5136"/>
    <w:rsid w:val="008F5DA0"/>
    <w:rsid w:val="009004EB"/>
    <w:rsid w:val="0090163E"/>
    <w:rsid w:val="00903C15"/>
    <w:rsid w:val="0090736D"/>
    <w:rsid w:val="00912CEF"/>
    <w:rsid w:val="009135BF"/>
    <w:rsid w:val="0091679A"/>
    <w:rsid w:val="00920A6D"/>
    <w:rsid w:val="00923F5E"/>
    <w:rsid w:val="00925C2E"/>
    <w:rsid w:val="009333DA"/>
    <w:rsid w:val="00933FBF"/>
    <w:rsid w:val="009400D4"/>
    <w:rsid w:val="0094660F"/>
    <w:rsid w:val="0094741B"/>
    <w:rsid w:val="00950DB9"/>
    <w:rsid w:val="00955403"/>
    <w:rsid w:val="0095583A"/>
    <w:rsid w:val="009603DF"/>
    <w:rsid w:val="00961CAB"/>
    <w:rsid w:val="009641B5"/>
    <w:rsid w:val="009657ED"/>
    <w:rsid w:val="0097365D"/>
    <w:rsid w:val="00973DA3"/>
    <w:rsid w:val="0097451A"/>
    <w:rsid w:val="009809F3"/>
    <w:rsid w:val="00981096"/>
    <w:rsid w:val="00984A73"/>
    <w:rsid w:val="00984B6C"/>
    <w:rsid w:val="009865AB"/>
    <w:rsid w:val="00986A72"/>
    <w:rsid w:val="00987188"/>
    <w:rsid w:val="009901BC"/>
    <w:rsid w:val="009937F0"/>
    <w:rsid w:val="009A07DD"/>
    <w:rsid w:val="009A3145"/>
    <w:rsid w:val="009A51B3"/>
    <w:rsid w:val="009A63BC"/>
    <w:rsid w:val="009B1A11"/>
    <w:rsid w:val="009B278C"/>
    <w:rsid w:val="009B27A0"/>
    <w:rsid w:val="009B2DEC"/>
    <w:rsid w:val="009B45C6"/>
    <w:rsid w:val="009B461C"/>
    <w:rsid w:val="009B688C"/>
    <w:rsid w:val="009C1173"/>
    <w:rsid w:val="009C12CA"/>
    <w:rsid w:val="009C19C4"/>
    <w:rsid w:val="009C287B"/>
    <w:rsid w:val="009C3A6D"/>
    <w:rsid w:val="009D3068"/>
    <w:rsid w:val="009D55D0"/>
    <w:rsid w:val="009D6DEA"/>
    <w:rsid w:val="009D7C23"/>
    <w:rsid w:val="009E08DF"/>
    <w:rsid w:val="009E1F47"/>
    <w:rsid w:val="009E2DB2"/>
    <w:rsid w:val="009E5459"/>
    <w:rsid w:val="009E54E2"/>
    <w:rsid w:val="009E741B"/>
    <w:rsid w:val="009F190B"/>
    <w:rsid w:val="009F577A"/>
    <w:rsid w:val="00A11CBD"/>
    <w:rsid w:val="00A169D9"/>
    <w:rsid w:val="00A20690"/>
    <w:rsid w:val="00A237F6"/>
    <w:rsid w:val="00A25E94"/>
    <w:rsid w:val="00A3296E"/>
    <w:rsid w:val="00A34532"/>
    <w:rsid w:val="00A372EC"/>
    <w:rsid w:val="00A4473A"/>
    <w:rsid w:val="00A448E4"/>
    <w:rsid w:val="00A50672"/>
    <w:rsid w:val="00A51400"/>
    <w:rsid w:val="00A518DD"/>
    <w:rsid w:val="00A518F4"/>
    <w:rsid w:val="00A51ACC"/>
    <w:rsid w:val="00A52C30"/>
    <w:rsid w:val="00A53C46"/>
    <w:rsid w:val="00A57BBD"/>
    <w:rsid w:val="00A612FE"/>
    <w:rsid w:val="00A61858"/>
    <w:rsid w:val="00A63651"/>
    <w:rsid w:val="00A67C02"/>
    <w:rsid w:val="00A705FF"/>
    <w:rsid w:val="00A721A6"/>
    <w:rsid w:val="00A73EA8"/>
    <w:rsid w:val="00A74674"/>
    <w:rsid w:val="00A7500F"/>
    <w:rsid w:val="00A75250"/>
    <w:rsid w:val="00A777F6"/>
    <w:rsid w:val="00A839DD"/>
    <w:rsid w:val="00A84742"/>
    <w:rsid w:val="00A860E3"/>
    <w:rsid w:val="00A87BDF"/>
    <w:rsid w:val="00A93E05"/>
    <w:rsid w:val="00AA077D"/>
    <w:rsid w:val="00AA25F9"/>
    <w:rsid w:val="00AA2710"/>
    <w:rsid w:val="00AA4860"/>
    <w:rsid w:val="00AA5A16"/>
    <w:rsid w:val="00AB0848"/>
    <w:rsid w:val="00AB1F07"/>
    <w:rsid w:val="00AB3D3B"/>
    <w:rsid w:val="00AB7F69"/>
    <w:rsid w:val="00AC2C1A"/>
    <w:rsid w:val="00AC653C"/>
    <w:rsid w:val="00AC7244"/>
    <w:rsid w:val="00AD2D25"/>
    <w:rsid w:val="00AD2E5A"/>
    <w:rsid w:val="00AD4BA5"/>
    <w:rsid w:val="00AD4D9D"/>
    <w:rsid w:val="00AD50B5"/>
    <w:rsid w:val="00AD549C"/>
    <w:rsid w:val="00AD5E65"/>
    <w:rsid w:val="00AD62B5"/>
    <w:rsid w:val="00AD7BE6"/>
    <w:rsid w:val="00AE2B20"/>
    <w:rsid w:val="00AE3505"/>
    <w:rsid w:val="00AE6257"/>
    <w:rsid w:val="00AF35EC"/>
    <w:rsid w:val="00AF7385"/>
    <w:rsid w:val="00B0063C"/>
    <w:rsid w:val="00B0127B"/>
    <w:rsid w:val="00B02C47"/>
    <w:rsid w:val="00B038CA"/>
    <w:rsid w:val="00B03A35"/>
    <w:rsid w:val="00B03DAF"/>
    <w:rsid w:val="00B04D13"/>
    <w:rsid w:val="00B06462"/>
    <w:rsid w:val="00B114A6"/>
    <w:rsid w:val="00B127A2"/>
    <w:rsid w:val="00B15090"/>
    <w:rsid w:val="00B1790D"/>
    <w:rsid w:val="00B17ABB"/>
    <w:rsid w:val="00B21015"/>
    <w:rsid w:val="00B21305"/>
    <w:rsid w:val="00B2505D"/>
    <w:rsid w:val="00B26EED"/>
    <w:rsid w:val="00B326E1"/>
    <w:rsid w:val="00B3460A"/>
    <w:rsid w:val="00B34A88"/>
    <w:rsid w:val="00B36292"/>
    <w:rsid w:val="00B36FB8"/>
    <w:rsid w:val="00B41878"/>
    <w:rsid w:val="00B419F2"/>
    <w:rsid w:val="00B42217"/>
    <w:rsid w:val="00B42462"/>
    <w:rsid w:val="00B439F0"/>
    <w:rsid w:val="00B44854"/>
    <w:rsid w:val="00B45DE4"/>
    <w:rsid w:val="00B53577"/>
    <w:rsid w:val="00B54F29"/>
    <w:rsid w:val="00B5535B"/>
    <w:rsid w:val="00B558E9"/>
    <w:rsid w:val="00B60CD5"/>
    <w:rsid w:val="00B65B59"/>
    <w:rsid w:val="00B8108A"/>
    <w:rsid w:val="00B83A9A"/>
    <w:rsid w:val="00B84140"/>
    <w:rsid w:val="00B8527C"/>
    <w:rsid w:val="00B85D1E"/>
    <w:rsid w:val="00B86D73"/>
    <w:rsid w:val="00B871DA"/>
    <w:rsid w:val="00B900B6"/>
    <w:rsid w:val="00B905E8"/>
    <w:rsid w:val="00B91EE3"/>
    <w:rsid w:val="00B95A3F"/>
    <w:rsid w:val="00B97ECF"/>
    <w:rsid w:val="00BA0787"/>
    <w:rsid w:val="00BA0AB7"/>
    <w:rsid w:val="00BA148A"/>
    <w:rsid w:val="00BA4398"/>
    <w:rsid w:val="00BB0D64"/>
    <w:rsid w:val="00BB0DD2"/>
    <w:rsid w:val="00BB2157"/>
    <w:rsid w:val="00BB2373"/>
    <w:rsid w:val="00BB5066"/>
    <w:rsid w:val="00BB607B"/>
    <w:rsid w:val="00BB616D"/>
    <w:rsid w:val="00BB7A63"/>
    <w:rsid w:val="00BC09AF"/>
    <w:rsid w:val="00BC25FC"/>
    <w:rsid w:val="00BC61D7"/>
    <w:rsid w:val="00BD143F"/>
    <w:rsid w:val="00BD20AB"/>
    <w:rsid w:val="00BD2551"/>
    <w:rsid w:val="00BD42C3"/>
    <w:rsid w:val="00BE0E68"/>
    <w:rsid w:val="00BE3B07"/>
    <w:rsid w:val="00BE5FAB"/>
    <w:rsid w:val="00BE6377"/>
    <w:rsid w:val="00BE6B98"/>
    <w:rsid w:val="00BF0516"/>
    <w:rsid w:val="00BF05CE"/>
    <w:rsid w:val="00BF282A"/>
    <w:rsid w:val="00BF5461"/>
    <w:rsid w:val="00BF56D9"/>
    <w:rsid w:val="00BF5912"/>
    <w:rsid w:val="00BF7094"/>
    <w:rsid w:val="00C0675A"/>
    <w:rsid w:val="00C06B07"/>
    <w:rsid w:val="00C10B5C"/>
    <w:rsid w:val="00C10E39"/>
    <w:rsid w:val="00C10E9F"/>
    <w:rsid w:val="00C1178C"/>
    <w:rsid w:val="00C12154"/>
    <w:rsid w:val="00C123B8"/>
    <w:rsid w:val="00C17226"/>
    <w:rsid w:val="00C20C47"/>
    <w:rsid w:val="00C21451"/>
    <w:rsid w:val="00C232FB"/>
    <w:rsid w:val="00C24E2C"/>
    <w:rsid w:val="00C24F1B"/>
    <w:rsid w:val="00C313EC"/>
    <w:rsid w:val="00C37B51"/>
    <w:rsid w:val="00C409D1"/>
    <w:rsid w:val="00C430D5"/>
    <w:rsid w:val="00C44632"/>
    <w:rsid w:val="00C5308E"/>
    <w:rsid w:val="00C539F1"/>
    <w:rsid w:val="00C57300"/>
    <w:rsid w:val="00C57527"/>
    <w:rsid w:val="00C622F8"/>
    <w:rsid w:val="00C6378D"/>
    <w:rsid w:val="00C63A02"/>
    <w:rsid w:val="00C63B66"/>
    <w:rsid w:val="00C652B5"/>
    <w:rsid w:val="00C673F4"/>
    <w:rsid w:val="00C70F2D"/>
    <w:rsid w:val="00C7161D"/>
    <w:rsid w:val="00C71A9B"/>
    <w:rsid w:val="00C75B9A"/>
    <w:rsid w:val="00C76E6B"/>
    <w:rsid w:val="00C7781A"/>
    <w:rsid w:val="00C84AA6"/>
    <w:rsid w:val="00C865A1"/>
    <w:rsid w:val="00C87C67"/>
    <w:rsid w:val="00C92E86"/>
    <w:rsid w:val="00C930EA"/>
    <w:rsid w:val="00CA3411"/>
    <w:rsid w:val="00CA3574"/>
    <w:rsid w:val="00CA5424"/>
    <w:rsid w:val="00CA5649"/>
    <w:rsid w:val="00CA6E38"/>
    <w:rsid w:val="00CB35F9"/>
    <w:rsid w:val="00CB3EF0"/>
    <w:rsid w:val="00CB5F05"/>
    <w:rsid w:val="00CB6790"/>
    <w:rsid w:val="00CC0D27"/>
    <w:rsid w:val="00CC41A8"/>
    <w:rsid w:val="00CC5F57"/>
    <w:rsid w:val="00CD1064"/>
    <w:rsid w:val="00CD37E3"/>
    <w:rsid w:val="00CD45CB"/>
    <w:rsid w:val="00CD5C4E"/>
    <w:rsid w:val="00CD5E4D"/>
    <w:rsid w:val="00CE2CA3"/>
    <w:rsid w:val="00CE3B62"/>
    <w:rsid w:val="00CE3BCE"/>
    <w:rsid w:val="00CE41CF"/>
    <w:rsid w:val="00CE4AD0"/>
    <w:rsid w:val="00CE69BC"/>
    <w:rsid w:val="00CE7803"/>
    <w:rsid w:val="00CE79A2"/>
    <w:rsid w:val="00CE7C3E"/>
    <w:rsid w:val="00CF2621"/>
    <w:rsid w:val="00CF2BA6"/>
    <w:rsid w:val="00CF3447"/>
    <w:rsid w:val="00CF71D0"/>
    <w:rsid w:val="00D00677"/>
    <w:rsid w:val="00D01479"/>
    <w:rsid w:val="00D01A6A"/>
    <w:rsid w:val="00D071FB"/>
    <w:rsid w:val="00D10FCF"/>
    <w:rsid w:val="00D11C3F"/>
    <w:rsid w:val="00D150EA"/>
    <w:rsid w:val="00D152A6"/>
    <w:rsid w:val="00D16508"/>
    <w:rsid w:val="00D172D8"/>
    <w:rsid w:val="00D177EC"/>
    <w:rsid w:val="00D20390"/>
    <w:rsid w:val="00D2326A"/>
    <w:rsid w:val="00D241B3"/>
    <w:rsid w:val="00D2489B"/>
    <w:rsid w:val="00D2510A"/>
    <w:rsid w:val="00D329A6"/>
    <w:rsid w:val="00D35316"/>
    <w:rsid w:val="00D35514"/>
    <w:rsid w:val="00D428DE"/>
    <w:rsid w:val="00D44D79"/>
    <w:rsid w:val="00D46F40"/>
    <w:rsid w:val="00D478E9"/>
    <w:rsid w:val="00D47F1D"/>
    <w:rsid w:val="00D554C5"/>
    <w:rsid w:val="00D56212"/>
    <w:rsid w:val="00D562FD"/>
    <w:rsid w:val="00D6110A"/>
    <w:rsid w:val="00D6406D"/>
    <w:rsid w:val="00D672C1"/>
    <w:rsid w:val="00D743A6"/>
    <w:rsid w:val="00D81549"/>
    <w:rsid w:val="00D82E82"/>
    <w:rsid w:val="00D910A6"/>
    <w:rsid w:val="00D91932"/>
    <w:rsid w:val="00D92417"/>
    <w:rsid w:val="00D9559F"/>
    <w:rsid w:val="00D97DF9"/>
    <w:rsid w:val="00DA0422"/>
    <w:rsid w:val="00DA3415"/>
    <w:rsid w:val="00DA4E70"/>
    <w:rsid w:val="00DA5648"/>
    <w:rsid w:val="00DA614A"/>
    <w:rsid w:val="00DA64A1"/>
    <w:rsid w:val="00DB0E4B"/>
    <w:rsid w:val="00DB196E"/>
    <w:rsid w:val="00DB2FE0"/>
    <w:rsid w:val="00DB5DDF"/>
    <w:rsid w:val="00DB6E3E"/>
    <w:rsid w:val="00DC0911"/>
    <w:rsid w:val="00DC1763"/>
    <w:rsid w:val="00DC190E"/>
    <w:rsid w:val="00DC4E99"/>
    <w:rsid w:val="00DC6414"/>
    <w:rsid w:val="00DC7E98"/>
    <w:rsid w:val="00DD257F"/>
    <w:rsid w:val="00DD3C4E"/>
    <w:rsid w:val="00DD5A8A"/>
    <w:rsid w:val="00DD5C40"/>
    <w:rsid w:val="00DE1C14"/>
    <w:rsid w:val="00DE4DD1"/>
    <w:rsid w:val="00DE74EE"/>
    <w:rsid w:val="00DF4CC3"/>
    <w:rsid w:val="00DF58AC"/>
    <w:rsid w:val="00DF699C"/>
    <w:rsid w:val="00E00978"/>
    <w:rsid w:val="00E01BB7"/>
    <w:rsid w:val="00E029C5"/>
    <w:rsid w:val="00E068FC"/>
    <w:rsid w:val="00E079C1"/>
    <w:rsid w:val="00E1239B"/>
    <w:rsid w:val="00E14E92"/>
    <w:rsid w:val="00E15688"/>
    <w:rsid w:val="00E1668B"/>
    <w:rsid w:val="00E16C2E"/>
    <w:rsid w:val="00E171F6"/>
    <w:rsid w:val="00E21C06"/>
    <w:rsid w:val="00E2264F"/>
    <w:rsid w:val="00E23D3B"/>
    <w:rsid w:val="00E24213"/>
    <w:rsid w:val="00E24E80"/>
    <w:rsid w:val="00E256C7"/>
    <w:rsid w:val="00E30BA8"/>
    <w:rsid w:val="00E314E7"/>
    <w:rsid w:val="00E34F3F"/>
    <w:rsid w:val="00E36E9C"/>
    <w:rsid w:val="00E41AA8"/>
    <w:rsid w:val="00E42E54"/>
    <w:rsid w:val="00E505D5"/>
    <w:rsid w:val="00E50D1F"/>
    <w:rsid w:val="00E54AAE"/>
    <w:rsid w:val="00E55AE8"/>
    <w:rsid w:val="00E55C57"/>
    <w:rsid w:val="00E57CC2"/>
    <w:rsid w:val="00E620CD"/>
    <w:rsid w:val="00E62A6E"/>
    <w:rsid w:val="00E63C6B"/>
    <w:rsid w:val="00E661B5"/>
    <w:rsid w:val="00E6628A"/>
    <w:rsid w:val="00E66497"/>
    <w:rsid w:val="00E6696F"/>
    <w:rsid w:val="00E674C0"/>
    <w:rsid w:val="00E70131"/>
    <w:rsid w:val="00E714DA"/>
    <w:rsid w:val="00E732FC"/>
    <w:rsid w:val="00E774DC"/>
    <w:rsid w:val="00E81091"/>
    <w:rsid w:val="00E8165F"/>
    <w:rsid w:val="00E83C1B"/>
    <w:rsid w:val="00E87A74"/>
    <w:rsid w:val="00E922F7"/>
    <w:rsid w:val="00E9503A"/>
    <w:rsid w:val="00E95874"/>
    <w:rsid w:val="00E95A24"/>
    <w:rsid w:val="00E97DEE"/>
    <w:rsid w:val="00EA0A99"/>
    <w:rsid w:val="00EA1222"/>
    <w:rsid w:val="00EA5987"/>
    <w:rsid w:val="00EA5B44"/>
    <w:rsid w:val="00EA696D"/>
    <w:rsid w:val="00EA7DEA"/>
    <w:rsid w:val="00EB1AC0"/>
    <w:rsid w:val="00EB4F3E"/>
    <w:rsid w:val="00EB5F88"/>
    <w:rsid w:val="00EB717D"/>
    <w:rsid w:val="00EC354B"/>
    <w:rsid w:val="00EC3E35"/>
    <w:rsid w:val="00EC5614"/>
    <w:rsid w:val="00EC6733"/>
    <w:rsid w:val="00EC6949"/>
    <w:rsid w:val="00ED0090"/>
    <w:rsid w:val="00ED1625"/>
    <w:rsid w:val="00ED1F4A"/>
    <w:rsid w:val="00ED46E1"/>
    <w:rsid w:val="00ED5E20"/>
    <w:rsid w:val="00ED67DD"/>
    <w:rsid w:val="00EE0E50"/>
    <w:rsid w:val="00EE19D7"/>
    <w:rsid w:val="00EE1A01"/>
    <w:rsid w:val="00EE3683"/>
    <w:rsid w:val="00EE516C"/>
    <w:rsid w:val="00EE751F"/>
    <w:rsid w:val="00EF1493"/>
    <w:rsid w:val="00EF7379"/>
    <w:rsid w:val="00F001FD"/>
    <w:rsid w:val="00F009E6"/>
    <w:rsid w:val="00F072C3"/>
    <w:rsid w:val="00F07D13"/>
    <w:rsid w:val="00F11581"/>
    <w:rsid w:val="00F117A5"/>
    <w:rsid w:val="00F123DE"/>
    <w:rsid w:val="00F1478E"/>
    <w:rsid w:val="00F24F6D"/>
    <w:rsid w:val="00F3428F"/>
    <w:rsid w:val="00F34EF2"/>
    <w:rsid w:val="00F40793"/>
    <w:rsid w:val="00F419B9"/>
    <w:rsid w:val="00F429C6"/>
    <w:rsid w:val="00F42E4C"/>
    <w:rsid w:val="00F502C1"/>
    <w:rsid w:val="00F51162"/>
    <w:rsid w:val="00F54B4E"/>
    <w:rsid w:val="00F579F6"/>
    <w:rsid w:val="00F62607"/>
    <w:rsid w:val="00F62793"/>
    <w:rsid w:val="00F64481"/>
    <w:rsid w:val="00F66A45"/>
    <w:rsid w:val="00F7089D"/>
    <w:rsid w:val="00F73703"/>
    <w:rsid w:val="00F761F0"/>
    <w:rsid w:val="00F76285"/>
    <w:rsid w:val="00F76F40"/>
    <w:rsid w:val="00F84E64"/>
    <w:rsid w:val="00F8646B"/>
    <w:rsid w:val="00F86963"/>
    <w:rsid w:val="00F8774F"/>
    <w:rsid w:val="00F90A97"/>
    <w:rsid w:val="00F91B57"/>
    <w:rsid w:val="00F9236C"/>
    <w:rsid w:val="00F92AD4"/>
    <w:rsid w:val="00F9406F"/>
    <w:rsid w:val="00F944D5"/>
    <w:rsid w:val="00F96E84"/>
    <w:rsid w:val="00F97ACD"/>
    <w:rsid w:val="00FA187F"/>
    <w:rsid w:val="00FA5838"/>
    <w:rsid w:val="00FA7F0C"/>
    <w:rsid w:val="00FB2242"/>
    <w:rsid w:val="00FB3E1E"/>
    <w:rsid w:val="00FB4677"/>
    <w:rsid w:val="00FB663D"/>
    <w:rsid w:val="00FB6797"/>
    <w:rsid w:val="00FC352B"/>
    <w:rsid w:val="00FC4524"/>
    <w:rsid w:val="00FC4680"/>
    <w:rsid w:val="00FC4BB2"/>
    <w:rsid w:val="00FC4BBD"/>
    <w:rsid w:val="00FC5AD6"/>
    <w:rsid w:val="00FD381A"/>
    <w:rsid w:val="00FE2349"/>
    <w:rsid w:val="00FE588E"/>
    <w:rsid w:val="00FF0F8A"/>
    <w:rsid w:val="00FF3643"/>
    <w:rsid w:val="00FF4894"/>
    <w:rsid w:val="00FF4CAE"/>
    <w:rsid w:val="00FF4EFB"/>
    <w:rsid w:val="00FF522A"/>
    <w:rsid w:val="00FF73BF"/>
    <w:rsid w:val="4DD2E32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3" w:lineRule="auto"/>
      <w:outlineLvl w:val="1"/>
    </w:pPr>
    <w:rPr>
      <w:rFonts w:ascii="Arial" w:hAnsi="Arial" w:eastAsia="黑体"/>
      <w:b/>
    </w:rPr>
  </w:style>
  <w:style w:type="paragraph" w:styleId="4">
    <w:name w:val="heading 3"/>
    <w:basedOn w:val="1"/>
    <w:next w:val="1"/>
    <w:link w:val="42"/>
    <w:semiHidden/>
    <w:unhideWhenUsed/>
    <w:qFormat/>
    <w:uiPriority w:val="0"/>
    <w:pPr>
      <w:keepNext/>
      <w:keepLines/>
      <w:spacing w:before="260" w:after="260" w:line="416" w:lineRule="auto"/>
      <w:outlineLvl w:val="2"/>
    </w:pPr>
    <w:rPr>
      <w:b/>
      <w:bCs/>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rFonts w:ascii="Calibri" w:hAnsi="Calibri" w:eastAsia="宋体"/>
      <w:sz w:val="21"/>
    </w:rPr>
  </w:style>
  <w:style w:type="paragraph" w:styleId="6">
    <w:name w:val="Normal Indent"/>
    <w:basedOn w:val="1"/>
    <w:next w:val="1"/>
    <w:unhideWhenUsed/>
    <w:qFormat/>
    <w:uiPriority w:val="99"/>
    <w:pPr>
      <w:ind w:firstLine="420"/>
    </w:pPr>
    <w:rPr>
      <w:sz w:val="21"/>
      <w:szCs w:val="32"/>
    </w:rPr>
  </w:style>
  <w:style w:type="paragraph" w:styleId="7">
    <w:name w:val="Body Text"/>
    <w:basedOn w:val="1"/>
    <w:link w:val="38"/>
    <w:qFormat/>
    <w:uiPriority w:val="0"/>
    <w:pPr>
      <w:spacing w:after="120"/>
    </w:pPr>
  </w:style>
  <w:style w:type="paragraph" w:styleId="8">
    <w:name w:val="Body Text Indent"/>
    <w:basedOn w:val="1"/>
    <w:qFormat/>
    <w:uiPriority w:val="0"/>
    <w:pPr>
      <w:snapToGrid w:val="0"/>
      <w:spacing w:line="440" w:lineRule="exact"/>
      <w:ind w:firstLine="645"/>
    </w:pPr>
    <w:rPr>
      <w:rFonts w:ascii="仿宋_GB2312" w:hAnsi="华文中宋"/>
      <w:szCs w:val="44"/>
    </w:rPr>
  </w:style>
  <w:style w:type="paragraph" w:styleId="9">
    <w:name w:val="Plain Text"/>
    <w:basedOn w:val="1"/>
    <w:link w:val="35"/>
    <w:qFormat/>
    <w:uiPriority w:val="0"/>
    <w:rPr>
      <w:rFonts w:ascii="宋体" w:hAnsi="Courier New"/>
      <w:szCs w:val="32"/>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37"/>
    <w:qFormat/>
    <w:uiPriority w:val="99"/>
    <w:pPr>
      <w:snapToGrid w:val="0"/>
      <w:jc w:val="left"/>
    </w:pPr>
    <w:rPr>
      <w:rFonts w:ascii="Calibri" w:hAnsi="Calibri" w:eastAsia="宋体"/>
      <w:sz w:val="18"/>
      <w:szCs w:val="18"/>
    </w:rPr>
  </w:style>
  <w:style w:type="paragraph" w:styleId="16">
    <w:name w:val="HTML Preformatted"/>
    <w:basedOn w:val="1"/>
    <w:link w:val="5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7">
    <w:name w:val="Normal (Web)"/>
    <w:basedOn w:val="1"/>
    <w:qFormat/>
    <w:uiPriority w:val="0"/>
    <w:pPr>
      <w:widowControl/>
      <w:jc w:val="left"/>
    </w:pPr>
    <w:rPr>
      <w:rFonts w:ascii="inherit" w:hAnsi="inherit" w:cs="宋体"/>
      <w:kern w:val="0"/>
      <w:sz w:val="24"/>
    </w:rPr>
  </w:style>
  <w:style w:type="paragraph" w:styleId="18">
    <w:name w:val="Title"/>
    <w:basedOn w:val="1"/>
    <w:next w:val="1"/>
    <w:link w:val="31"/>
    <w:qFormat/>
    <w:uiPriority w:val="0"/>
    <w:pPr>
      <w:spacing w:before="240" w:after="60"/>
      <w:jc w:val="center"/>
      <w:outlineLvl w:val="0"/>
    </w:pPr>
    <w:rPr>
      <w:rFonts w:ascii="Cambria" w:hAnsi="Cambria" w:eastAsia="宋体"/>
      <w:b/>
      <w:bCs/>
      <w:szCs w:val="32"/>
    </w:rPr>
  </w:style>
  <w:style w:type="paragraph" w:styleId="19">
    <w:name w:val="Body Text First Indent"/>
    <w:basedOn w:val="7"/>
    <w:link w:val="48"/>
    <w:qFormat/>
    <w:uiPriority w:val="99"/>
    <w:pPr>
      <w:ind w:firstLine="420" w:firstLineChars="100"/>
    </w:pPr>
    <w:rPr>
      <w:rFonts w:ascii="Calibri" w:hAnsi="Calibri" w:eastAsia="宋体"/>
      <w:kern w:val="0"/>
      <w:sz w:val="21"/>
      <w:szCs w:val="22"/>
    </w:rPr>
  </w:style>
  <w:style w:type="character" w:styleId="22">
    <w:name w:val="Strong"/>
    <w:basedOn w:val="21"/>
    <w:qFormat/>
    <w:uiPriority w:val="0"/>
    <w:rPr>
      <w:b/>
      <w:bCs/>
      <w:sz w:val="21"/>
      <w:szCs w:val="24"/>
    </w:rPr>
  </w:style>
  <w:style w:type="character" w:styleId="23">
    <w:name w:val="page number"/>
    <w:basedOn w:val="21"/>
    <w:qFormat/>
    <w:uiPriority w:val="0"/>
  </w:style>
  <w:style w:type="character" w:styleId="24">
    <w:name w:val="Hyperlink"/>
    <w:basedOn w:val="21"/>
    <w:qFormat/>
    <w:uiPriority w:val="99"/>
    <w:rPr>
      <w:color w:val="0000FF"/>
      <w:u w:val="single"/>
    </w:rPr>
  </w:style>
  <w:style w:type="paragraph" w:customStyle="1" w:styleId="25">
    <w:name w:val="Char Char"/>
    <w:basedOn w:val="1"/>
    <w:qFormat/>
    <w:uiPriority w:val="0"/>
    <w:pPr>
      <w:tabs>
        <w:tab w:val="left" w:pos="360"/>
      </w:tabs>
    </w:pPr>
    <w:rPr>
      <w:sz w:val="24"/>
    </w:rPr>
  </w:style>
  <w:style w:type="paragraph" w:customStyle="1" w:styleId="26">
    <w:name w:val="Char"/>
    <w:basedOn w:val="1"/>
    <w:qFormat/>
    <w:uiPriority w:val="0"/>
  </w:style>
  <w:style w:type="paragraph" w:customStyle="1" w:styleId="27">
    <w:name w:val="Char Char Char Char Char Char Char Char Char Char Char Char Char Char Char Char Char Char Char Char Char Char Char Char Char Char Char Char Char Char Char"/>
    <w:basedOn w:val="1"/>
    <w:qFormat/>
    <w:uiPriority w:val="0"/>
    <w:pPr>
      <w:tabs>
        <w:tab w:val="left" w:pos="1723"/>
      </w:tabs>
      <w:ind w:left="1723" w:hanging="1080"/>
    </w:pPr>
    <w:rPr>
      <w:sz w:val="24"/>
    </w:rPr>
  </w:style>
  <w:style w:type="paragraph" w:customStyle="1" w:styleId="28">
    <w:name w:val="p0"/>
    <w:basedOn w:val="1"/>
    <w:qFormat/>
    <w:uiPriority w:val="0"/>
    <w:pPr>
      <w:widowControl/>
    </w:pPr>
    <w:rPr>
      <w:rFonts w:ascii="Calibri" w:hAnsi="Calibri" w:eastAsia="宋体" w:cs="宋体"/>
      <w:kern w:val="0"/>
      <w:sz w:val="21"/>
      <w:szCs w:val="21"/>
    </w:rPr>
  </w:style>
  <w:style w:type="character" w:customStyle="1" w:styleId="29">
    <w:name w:val="NormalCharacter"/>
    <w:qFormat/>
    <w:uiPriority w:val="0"/>
    <w:rPr>
      <w:rFonts w:ascii="Calibri" w:hAnsi="Calibri" w:eastAsia="宋体"/>
    </w:rPr>
  </w:style>
  <w:style w:type="paragraph" w:customStyle="1" w:styleId="30">
    <w:name w:val="列出段落1"/>
    <w:basedOn w:val="1"/>
    <w:qFormat/>
    <w:uiPriority w:val="0"/>
    <w:pPr>
      <w:ind w:firstLine="420" w:firstLineChars="200"/>
    </w:pPr>
    <w:rPr>
      <w:rFonts w:ascii="Calibri" w:hAnsi="Calibri" w:eastAsia="宋体" w:cs="Calibri"/>
      <w:sz w:val="21"/>
      <w:szCs w:val="21"/>
    </w:rPr>
  </w:style>
  <w:style w:type="character" w:customStyle="1" w:styleId="31">
    <w:name w:val="标题 Char"/>
    <w:basedOn w:val="21"/>
    <w:link w:val="18"/>
    <w:qFormat/>
    <w:uiPriority w:val="0"/>
    <w:rPr>
      <w:rFonts w:ascii="Cambria" w:hAnsi="Cambria"/>
      <w:b/>
      <w:bCs/>
      <w:kern w:val="2"/>
      <w:sz w:val="32"/>
      <w:szCs w:val="32"/>
    </w:rPr>
  </w:style>
  <w:style w:type="paragraph" w:styleId="32">
    <w:name w:val="List Paragraph"/>
    <w:basedOn w:val="1"/>
    <w:qFormat/>
    <w:uiPriority w:val="34"/>
    <w:pPr>
      <w:ind w:firstLine="420" w:firstLineChars="200"/>
    </w:pPr>
    <w:rPr>
      <w:rFonts w:ascii="Calibri" w:hAnsi="Calibri" w:eastAsia="宋体"/>
      <w:sz w:val="21"/>
    </w:rPr>
  </w:style>
  <w:style w:type="paragraph" w:customStyle="1" w:styleId="33">
    <w:name w:val="179"/>
    <w:basedOn w:val="1"/>
    <w:qFormat/>
    <w:uiPriority w:val="99"/>
    <w:pPr>
      <w:widowControl/>
      <w:ind w:firstLine="420" w:firstLineChars="200"/>
      <w:textAlignment w:val="baseline"/>
    </w:pPr>
    <w:rPr>
      <w:rFonts w:ascii="Calibri" w:hAnsi="Calibri" w:eastAsia="宋体" w:cs="Calibri"/>
      <w:sz w:val="21"/>
      <w:szCs w:val="21"/>
    </w:rPr>
  </w:style>
  <w:style w:type="character" w:customStyle="1" w:styleId="34">
    <w:name w:val="标题 2 Char"/>
    <w:basedOn w:val="21"/>
    <w:link w:val="3"/>
    <w:qFormat/>
    <w:uiPriority w:val="0"/>
    <w:rPr>
      <w:rFonts w:ascii="Arial" w:hAnsi="Arial" w:eastAsia="黑体"/>
      <w:b/>
      <w:kern w:val="2"/>
      <w:sz w:val="32"/>
      <w:szCs w:val="24"/>
    </w:rPr>
  </w:style>
  <w:style w:type="character" w:customStyle="1" w:styleId="35">
    <w:name w:val="纯文本 Char"/>
    <w:basedOn w:val="21"/>
    <w:link w:val="9"/>
    <w:qFormat/>
    <w:uiPriority w:val="0"/>
    <w:rPr>
      <w:rFonts w:ascii="宋体" w:hAnsi="Courier New" w:eastAsia="仿宋_GB2312"/>
      <w:kern w:val="2"/>
      <w:sz w:val="32"/>
      <w:szCs w:val="32"/>
    </w:rPr>
  </w:style>
  <w:style w:type="paragraph" w:customStyle="1" w:styleId="36">
    <w:name w:val="BodyText1I2"/>
    <w:basedOn w:val="1"/>
    <w:qFormat/>
    <w:uiPriority w:val="0"/>
    <w:pPr>
      <w:spacing w:after="120"/>
      <w:ind w:left="420" w:leftChars="200" w:firstLine="420" w:firstLineChars="200"/>
      <w:textAlignment w:val="baseline"/>
    </w:pPr>
  </w:style>
  <w:style w:type="character" w:customStyle="1" w:styleId="37">
    <w:name w:val="脚注文本 Char"/>
    <w:basedOn w:val="21"/>
    <w:link w:val="15"/>
    <w:qFormat/>
    <w:uiPriority w:val="0"/>
    <w:rPr>
      <w:rFonts w:ascii="Calibri" w:hAnsi="Calibri" w:eastAsia="宋体" w:cs="Times New Roman"/>
      <w:kern w:val="2"/>
      <w:sz w:val="18"/>
      <w:szCs w:val="18"/>
    </w:rPr>
  </w:style>
  <w:style w:type="character" w:customStyle="1" w:styleId="38">
    <w:name w:val="正文文本 Char"/>
    <w:basedOn w:val="21"/>
    <w:link w:val="7"/>
    <w:qFormat/>
    <w:uiPriority w:val="0"/>
    <w:rPr>
      <w:rFonts w:eastAsia="仿宋_GB2312"/>
      <w:kern w:val="2"/>
      <w:sz w:val="32"/>
      <w:szCs w:val="24"/>
    </w:rPr>
  </w:style>
  <w:style w:type="character" w:customStyle="1" w:styleId="39">
    <w:name w:val="标题 1 Char"/>
    <w:basedOn w:val="21"/>
    <w:link w:val="2"/>
    <w:qFormat/>
    <w:uiPriority w:val="0"/>
    <w:rPr>
      <w:rFonts w:eastAsia="仿宋_GB2312"/>
      <w:b/>
      <w:bCs/>
      <w:kern w:val="44"/>
      <w:sz w:val="44"/>
      <w:szCs w:val="44"/>
    </w:rPr>
  </w:style>
  <w:style w:type="paragraph" w:customStyle="1" w:styleId="40">
    <w:name w:val="Heading2"/>
    <w:basedOn w:val="1"/>
    <w:next w:val="1"/>
    <w:link w:val="41"/>
    <w:qFormat/>
    <w:uiPriority w:val="0"/>
    <w:pPr>
      <w:keepNext/>
      <w:keepLines/>
      <w:widowControl/>
      <w:spacing w:line="580" w:lineRule="exact"/>
      <w:ind w:firstLine="880" w:firstLineChars="200"/>
      <w:jc w:val="left"/>
      <w:textAlignment w:val="baseline"/>
    </w:pPr>
    <w:rPr>
      <w:rFonts w:ascii="Arial" w:hAnsi="Arial" w:eastAsia="黑体"/>
      <w:kern w:val="0"/>
      <w:szCs w:val="20"/>
    </w:rPr>
  </w:style>
  <w:style w:type="character" w:customStyle="1" w:styleId="41">
    <w:name w:val="UserStyle_0"/>
    <w:link w:val="40"/>
    <w:qFormat/>
    <w:uiPriority w:val="0"/>
    <w:rPr>
      <w:rFonts w:ascii="Arial" w:hAnsi="Arial" w:eastAsia="黑体" w:cs="Times New Roman"/>
      <w:sz w:val="32"/>
    </w:rPr>
  </w:style>
  <w:style w:type="character" w:customStyle="1" w:styleId="42">
    <w:name w:val="标题 3 Char"/>
    <w:basedOn w:val="21"/>
    <w:link w:val="4"/>
    <w:semiHidden/>
    <w:qFormat/>
    <w:uiPriority w:val="0"/>
    <w:rPr>
      <w:rFonts w:eastAsia="仿宋_GB2312"/>
      <w:b/>
      <w:bCs/>
      <w:kern w:val="2"/>
      <w:sz w:val="32"/>
      <w:szCs w:val="32"/>
    </w:rPr>
  </w:style>
  <w:style w:type="paragraph" w:customStyle="1" w:styleId="43">
    <w:name w:val="BodyText"/>
    <w:basedOn w:val="1"/>
    <w:qFormat/>
    <w:uiPriority w:val="0"/>
    <w:pPr>
      <w:spacing w:after="120"/>
    </w:pPr>
    <w:rPr>
      <w:rFonts w:ascii="Calibri" w:hAnsi="Calibri" w:eastAsia="宋体"/>
      <w:sz w:val="21"/>
    </w:rPr>
  </w:style>
  <w:style w:type="paragraph" w:customStyle="1" w:styleId="44">
    <w:name w:val="Default"/>
    <w:qFormat/>
    <w:uiPriority w:val="0"/>
    <w:pPr>
      <w:widowControl w:val="0"/>
      <w:autoSpaceDE w:val="0"/>
      <w:autoSpaceDN w:val="0"/>
      <w:adjustRightInd w:val="0"/>
    </w:pPr>
    <w:rPr>
      <w:rFonts w:ascii="方正仿宋_GBK" w:hAnsi="方正仿宋_GBK" w:eastAsia="方正仿宋_GBK" w:cs="Times New Roman"/>
      <w:color w:val="000000"/>
      <w:sz w:val="24"/>
      <w:lang w:val="en-US" w:eastAsia="zh-CN" w:bidi="ar-SA"/>
    </w:rPr>
  </w:style>
  <w:style w:type="character" w:customStyle="1" w:styleId="45">
    <w:name w:val="15"/>
    <w:basedOn w:val="21"/>
    <w:qFormat/>
    <w:uiPriority w:val="0"/>
    <w:rPr>
      <w:rFonts w:hint="default" w:ascii="Times New Roman" w:hAnsi="Times New Roman" w:cs="Times New Roman"/>
    </w:rPr>
  </w:style>
  <w:style w:type="paragraph" w:customStyle="1" w:styleId="46">
    <w:name w:val="公文1"/>
    <w:basedOn w:val="1"/>
    <w:qFormat/>
    <w:uiPriority w:val="0"/>
    <w:pPr>
      <w:spacing w:line="600" w:lineRule="exact"/>
    </w:pPr>
    <w:rPr>
      <w:szCs w:val="32"/>
    </w:rPr>
  </w:style>
  <w:style w:type="paragraph" w:customStyle="1" w:styleId="47">
    <w:name w:val="TableOfAuthoring"/>
    <w:basedOn w:val="1"/>
    <w:next w:val="1"/>
    <w:qFormat/>
    <w:uiPriority w:val="0"/>
    <w:pPr>
      <w:ind w:left="420" w:leftChars="200"/>
    </w:pPr>
    <w:rPr>
      <w:rFonts w:ascii="Calibri" w:hAnsi="Calibri" w:eastAsia="宋体"/>
      <w:sz w:val="21"/>
      <w:szCs w:val="22"/>
    </w:rPr>
  </w:style>
  <w:style w:type="character" w:customStyle="1" w:styleId="48">
    <w:name w:val="正文首行缩进 Char"/>
    <w:basedOn w:val="38"/>
    <w:link w:val="19"/>
    <w:qFormat/>
    <w:uiPriority w:val="99"/>
    <w:rPr>
      <w:rFonts w:ascii="Calibri" w:hAnsi="Calibri"/>
      <w:sz w:val="21"/>
      <w:szCs w:val="22"/>
    </w:rPr>
  </w:style>
  <w:style w:type="paragraph" w:customStyle="1" w:styleId="49">
    <w:name w:val="Body Text First Indent 21"/>
    <w:basedOn w:val="1"/>
    <w:qFormat/>
    <w:uiPriority w:val="0"/>
    <w:pPr>
      <w:suppressAutoHyphens/>
      <w:ind w:left="200" w:leftChars="200" w:firstLine="420"/>
    </w:pPr>
    <w:rPr>
      <w:rFonts w:ascii="方正仿宋_GB2312" w:hAnsi="Calibri" w:eastAsia="方正仿宋_GB2312" w:cs="方正仿宋_GB2312"/>
      <w:szCs w:val="32"/>
    </w:rPr>
  </w:style>
  <w:style w:type="character" w:customStyle="1" w:styleId="50">
    <w:name w:val="HTML 预设格式 Char"/>
    <w:basedOn w:val="21"/>
    <w:link w:val="16"/>
    <w:qFormat/>
    <w:uiPriority w:val="0"/>
    <w:rPr>
      <w:rFonts w:ascii="宋体" w:hAnsi="宋体"/>
      <w:sz w:val="24"/>
      <w:szCs w:val="24"/>
    </w:rPr>
  </w:style>
  <w:style w:type="paragraph" w:customStyle="1" w:styleId="51">
    <w:name w:val="闻政正文"/>
    <w:basedOn w:val="1"/>
    <w:qFormat/>
    <w:uiPriority w:val="0"/>
    <w:pPr>
      <w:spacing w:line="500" w:lineRule="exact"/>
      <w:ind w:firstLine="560" w:firstLineChars="200"/>
    </w:pPr>
    <w:rPr>
      <w:kern w:val="0"/>
      <w:sz w:val="28"/>
      <w:szCs w:val="28"/>
    </w:rPr>
  </w:style>
  <w:style w:type="paragraph" w:customStyle="1" w:styleId="52">
    <w:name w:val="正文1"/>
    <w:qFormat/>
    <w:uiPriority w:val="0"/>
    <w:pPr>
      <w:widowControl w:val="0"/>
      <w:jc w:val="both"/>
    </w:pPr>
    <w:rPr>
      <w:rFonts w:ascii="宋体" w:hAnsi="宋体"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czj</Company>
  <Pages>5</Pages>
  <Words>353</Words>
  <Characters>2013</Characters>
  <Lines>16</Lines>
  <Paragraphs>4</Paragraphs>
  <TotalTime>3</TotalTime>
  <ScaleCrop>false</ScaleCrop>
  <LinksUpToDate>false</LinksUpToDate>
  <CharactersWithSpaces>2362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2024-11-25T16:23:00Z</dcterms:created>
  <dc:creator>bgs</dc:creator>
  <cp:lastModifiedBy>uos</cp:lastModifiedBy>
  <cp:lastPrinted>2024-11-25T16:23:00Z</cp:lastPrinted>
  <dcterms:modified xsi:type="dcterms:W3CDTF">2024-11-29T10:51:21Z</dcterms:modified>
  <dc:title>伊财  字[2005]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