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Cs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shd w:val="clear" w:color="auto" w:fill="auto"/>
          <w:lang w:eastAsia="zh-CN"/>
        </w:rPr>
        <w:t>附件</w:t>
      </w:r>
      <w:r>
        <w:rPr>
          <w:rFonts w:hint="default" w:ascii="黑体" w:hAnsi="黑体" w:eastAsia="黑体" w:cs="黑体"/>
          <w:bCs/>
          <w:sz w:val="32"/>
          <w:szCs w:val="32"/>
          <w:highlight w:val="none"/>
          <w:shd w:val="clear" w:color="auto" w:fill="auto"/>
          <w:lang w:eastAsia="zh-CN"/>
        </w:rPr>
        <w:t>1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shd w:val="clear" w:color="auto" w:fill="auto"/>
          <w:lang w:eastAsia="zh-CN"/>
        </w:rPr>
        <w:t>省级工作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shd w:val="clear" w:color="auto" w:fill="auto"/>
          <w:lang w:eastAsia="zh-CN"/>
        </w:rPr>
        <w:t>方案</w:t>
      </w:r>
      <w:r>
        <w:rPr>
          <w:rFonts w:hint="eastAsia" w:ascii="宋体" w:hAnsi="宋体" w:cs="宋体"/>
          <w:b/>
          <w:bCs w:val="0"/>
          <w:sz w:val="36"/>
          <w:szCs w:val="36"/>
          <w:highlight w:val="none"/>
          <w:shd w:val="clear" w:color="auto" w:fill="auto"/>
          <w:lang w:eastAsia="zh-CN"/>
        </w:rPr>
        <w:t>编报指南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firstLine="64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632" w:firstLineChars="200"/>
        <w:rPr>
          <w:rFonts w:hint="eastAsia" w:ascii="Times New Roman" w:hAnsi="Times New Roman" w:eastAsia="黑体"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黑体"/>
          <w:color w:val="000000"/>
          <w:spacing w:val="-2"/>
          <w:sz w:val="32"/>
          <w:szCs w:val="32"/>
          <w:highlight w:val="none"/>
          <w:shd w:val="clear" w:color="auto" w:fill="auto"/>
        </w:rPr>
        <w:t>一、</w:t>
      </w:r>
      <w:r>
        <w:rPr>
          <w:rFonts w:hint="eastAsia" w:ascii="Times New Roman" w:hAnsi="Times New Roman" w:eastAsia="黑体"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基本情况</w:t>
      </w:r>
    </w:p>
    <w:p>
      <w:pPr>
        <w:autoSpaceDE w:val="0"/>
        <w:autoSpaceDN w:val="0"/>
        <w:adjustRightInd w:val="0"/>
        <w:snapToGrid w:val="0"/>
        <w:spacing w:line="360" w:lineRule="auto"/>
        <w:ind w:firstLine="634" w:firstLineChars="200"/>
        <w:rPr>
          <w:rFonts w:hint="default" w:ascii="Times" w:hAnsi="Times" w:eastAsia="仿宋_GB2312" w:cs="Times"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Times" w:hAnsi="Times" w:eastAsia="楷体" w:cs="Times"/>
          <w:b/>
          <w:bCs/>
          <w:color w:val="000000"/>
          <w:spacing w:val="-2"/>
          <w:sz w:val="32"/>
          <w:szCs w:val="32"/>
          <w:highlight w:val="none"/>
          <w:shd w:val="clear" w:color="auto" w:fill="auto"/>
          <w:lang w:val="en-US" w:eastAsia="zh-CN"/>
        </w:rPr>
        <w:t>（一）</w:t>
      </w:r>
      <w:r>
        <w:rPr>
          <w:rFonts w:hint="default" w:ascii="Times" w:hAnsi="Times" w:eastAsia="楷体" w:cs="Times"/>
          <w:b/>
          <w:bCs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农产品流通</w:t>
      </w:r>
      <w:r>
        <w:rPr>
          <w:rFonts w:hint="eastAsia" w:ascii="Times" w:hAnsi="Times" w:eastAsia="楷体" w:cs="Times"/>
          <w:b/>
          <w:bCs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情况</w:t>
      </w:r>
      <w:r>
        <w:rPr>
          <w:rFonts w:hint="default" w:ascii="Times" w:hAnsi="Times" w:eastAsia="楷体" w:cs="Times"/>
          <w:b/>
          <w:bCs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default" w:ascii="Times" w:hAnsi="Times" w:eastAsia="仿宋_GB2312" w:cs="Times"/>
          <w:b/>
          <w:bCs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本地区农产品产销情况</w:t>
      </w:r>
      <w:r>
        <w:rPr>
          <w:rFonts w:hint="default" w:ascii="Times" w:hAnsi="Times" w:eastAsia="仿宋_GB2312" w:cs="Times"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，包括：主要鲜活农产品消费量、本地区产量、自给率、跨区域调入/调出量、流通的主要渠道等。</w:t>
      </w:r>
      <w:r>
        <w:rPr>
          <w:rFonts w:hint="default" w:ascii="Times" w:hAnsi="Times" w:eastAsia="仿宋_GB2312" w:cs="Times"/>
          <w:b/>
          <w:bCs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本地区农产品冷链情况</w:t>
      </w:r>
      <w:r>
        <w:rPr>
          <w:rFonts w:hint="default" w:ascii="Times" w:hAnsi="Times" w:eastAsia="仿宋_GB2312" w:cs="Times"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，包括：本地区集散地（农产品批发市场）、主销地（城市）各类冷链设施的规模、分布、市场需求等情况。设施类型包括但不限于公共冷库、配送中心、冷藏车辆等。</w:t>
      </w:r>
      <w:r>
        <w:rPr>
          <w:rFonts w:hint="default" w:ascii="Times" w:hAnsi="Times" w:eastAsia="仿宋_GB2312" w:cs="Times"/>
          <w:b/>
          <w:bCs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农产品市场应急保供情况</w:t>
      </w:r>
      <w:r>
        <w:rPr>
          <w:rFonts w:hint="default" w:ascii="Times" w:hAnsi="Times" w:eastAsia="仿宋_GB2312" w:cs="Times"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，包括：本地区农产品保供应急预案和相关工作机制，跨区域农产品对接调运、物流中转、终端配送等环节流程设计和制度安排，农产品市场应急保供队伍等。</w:t>
      </w:r>
      <w:r>
        <w:rPr>
          <w:rFonts w:hint="eastAsia" w:ascii="Times" w:hAnsi="Times" w:eastAsia="仿宋_GB2312" w:cs="Times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有关摸底数据应客观准确，</w:t>
      </w:r>
      <w:r>
        <w:rPr>
          <w:rFonts w:hint="default" w:ascii="Times" w:hAnsi="Times" w:eastAsia="仿宋_GB2312" w:cs="Times"/>
          <w:color w:val="000000"/>
          <w:sz w:val="32"/>
          <w:szCs w:val="32"/>
          <w:highlight w:val="none"/>
          <w:shd w:val="clear" w:color="auto" w:fill="auto"/>
          <w:lang w:eastAsia="zh-CN"/>
        </w:rPr>
        <w:t>并</w:t>
      </w:r>
      <w:r>
        <w:rPr>
          <w:rFonts w:hint="eastAsia" w:ascii="Times" w:hAnsi="Times" w:eastAsia="仿宋_GB2312" w:cs="Times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经</w:t>
      </w:r>
      <w:r>
        <w:rPr>
          <w:rFonts w:hint="default" w:ascii="Times" w:hAnsi="Times" w:eastAsia="仿宋_GB2312" w:cs="Times"/>
          <w:color w:val="000000"/>
          <w:sz w:val="32"/>
          <w:szCs w:val="32"/>
          <w:highlight w:val="none"/>
          <w:shd w:val="clear" w:color="auto" w:fill="auto"/>
          <w:lang w:eastAsia="zh-CN"/>
        </w:rPr>
        <w:t>省级</w:t>
      </w:r>
      <w:r>
        <w:rPr>
          <w:rFonts w:hint="eastAsia" w:ascii="Times" w:hAnsi="Times" w:eastAsia="仿宋_GB2312" w:cs="Times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商务主管部门审核确认。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634" w:firstLineChars="200"/>
        <w:rPr>
          <w:rFonts w:hint="eastAsia" w:ascii="Times" w:hAnsi="Times" w:eastAsia="仿宋_GB2312" w:cs="Times"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Times" w:hAnsi="Times" w:eastAsia="楷体" w:cs="Times"/>
          <w:b/>
          <w:bCs/>
          <w:color w:val="000000"/>
          <w:spacing w:val="-2"/>
          <w:sz w:val="32"/>
          <w:szCs w:val="32"/>
          <w:highlight w:val="none"/>
          <w:shd w:val="clear" w:color="auto" w:fill="auto"/>
          <w:lang w:val="en-US" w:eastAsia="zh-CN"/>
        </w:rPr>
        <w:t>（二）</w:t>
      </w:r>
      <w:r>
        <w:rPr>
          <w:rFonts w:hint="default" w:ascii="Times" w:hAnsi="Times" w:eastAsia="楷体" w:cs="Times"/>
          <w:b/>
          <w:bCs/>
          <w:color w:val="000000"/>
          <w:spacing w:val="-2"/>
          <w:sz w:val="32"/>
          <w:szCs w:val="32"/>
          <w:highlight w:val="none"/>
          <w:shd w:val="clear" w:color="auto" w:fill="auto"/>
          <w:lang w:val="en-US" w:eastAsia="zh-CN"/>
        </w:rPr>
        <w:t>前期工作进展。</w:t>
      </w:r>
      <w:r>
        <w:rPr>
          <w:rFonts w:hint="default" w:ascii="Times" w:hAnsi="Times" w:eastAsia="仿宋_GB2312" w:cs="Times"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农产品流通体系建设实施情况</w:t>
      </w:r>
      <w:r>
        <w:rPr>
          <w:rFonts w:hint="default" w:ascii="Times" w:hAnsi="Times" w:eastAsia="仿宋_GB2312" w:cs="Times"/>
          <w:color w:val="000000"/>
          <w:spacing w:val="-2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" w:hAnsi="Times" w:eastAsia="仿宋_GB2312" w:cs="Times"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包括省级</w:t>
      </w:r>
      <w:r>
        <w:rPr>
          <w:rFonts w:hint="eastAsia" w:ascii="Times" w:hAnsi="Times" w:eastAsia="仿宋_GB2312" w:cs="Times"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工作</w:t>
      </w:r>
      <w:r>
        <w:rPr>
          <w:rFonts w:hint="default" w:ascii="Times" w:hAnsi="Times" w:eastAsia="仿宋_GB2312" w:cs="Times"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文件、协调机制、责任分工、</w:t>
      </w:r>
      <w:r>
        <w:rPr>
          <w:rFonts w:hint="eastAsia" w:ascii="Times" w:hAnsi="Times" w:eastAsia="仿宋_GB2312" w:cs="Times"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配套政策</w:t>
      </w:r>
      <w:r>
        <w:rPr>
          <w:rFonts w:hint="default" w:ascii="Times" w:hAnsi="Times" w:eastAsia="仿宋_GB2312" w:cs="Times"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等</w:t>
      </w:r>
      <w:r>
        <w:rPr>
          <w:rFonts w:hint="eastAsia" w:ascii="Times" w:hAnsi="Times" w:eastAsia="仿宋_GB2312" w:cs="Times"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落实举措，</w:t>
      </w: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2012</w:t>
      </w: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highlight w:val="none"/>
          <w:shd w:val="clear" w:color="auto" w:fill="auto"/>
          <w:lang w:val="en-US" w:eastAsia="zh-CN"/>
        </w:rPr>
        <w:t>年</w:t>
      </w:r>
      <w:r>
        <w:rPr>
          <w:rFonts w:hint="eastAsia" w:ascii="Times" w:hAnsi="Times" w:eastAsia="仿宋_GB2312" w:cs="Times"/>
          <w:color w:val="000000"/>
          <w:spacing w:val="-2"/>
          <w:sz w:val="32"/>
          <w:szCs w:val="32"/>
          <w:highlight w:val="none"/>
          <w:shd w:val="clear" w:color="auto" w:fill="auto"/>
          <w:lang w:val="en-US" w:eastAsia="zh-CN"/>
        </w:rPr>
        <w:t>以来</w:t>
      </w:r>
      <w:r>
        <w:rPr>
          <w:rFonts w:hint="default" w:ascii="Times" w:hAnsi="Times" w:eastAsia="仿宋_GB2312" w:cs="Times"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中央财政资金支持农产品流通体系</w:t>
      </w:r>
      <w:r>
        <w:rPr>
          <w:rFonts w:hint="eastAsia" w:ascii="Times" w:hAnsi="Times" w:eastAsia="仿宋_GB2312" w:cs="Times"/>
          <w:color w:val="000000"/>
          <w:spacing w:val="-2"/>
          <w:sz w:val="32"/>
          <w:szCs w:val="32"/>
          <w:highlight w:val="none"/>
          <w:shd w:val="clear" w:color="auto" w:fill="auto"/>
          <w:lang w:val="en-US" w:eastAsia="zh-CN"/>
        </w:rPr>
        <w:t>建设情况</w:t>
      </w:r>
      <w:r>
        <w:rPr>
          <w:rFonts w:hint="default" w:ascii="Times" w:hAnsi="Times" w:eastAsia="仿宋_GB2312" w:cs="Times"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、取得的成效和存在问题</w:t>
      </w:r>
      <w:r>
        <w:rPr>
          <w:rFonts w:hint="default" w:ascii="Times" w:hAnsi="Times" w:eastAsia="仿宋_GB2312" w:cs="Times"/>
          <w:color w:val="000000"/>
          <w:spacing w:val="-2"/>
          <w:sz w:val="32"/>
          <w:szCs w:val="32"/>
          <w:highlight w:val="none"/>
          <w:shd w:val="clear" w:color="auto" w:fill="auto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632" w:firstLineChars="200"/>
        <w:rPr>
          <w:rFonts w:hint="default" w:ascii="Times" w:hAnsi="Times" w:eastAsia="黑体" w:cs="Times"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" w:hAnsi="Times" w:eastAsia="黑体" w:cs="Times"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二、目标任务</w:t>
      </w:r>
    </w:p>
    <w:p>
      <w:pPr>
        <w:autoSpaceDE w:val="0"/>
        <w:autoSpaceDN w:val="0"/>
        <w:adjustRightInd w:val="0"/>
        <w:snapToGrid w:val="0"/>
        <w:spacing w:line="360" w:lineRule="auto"/>
        <w:ind w:firstLine="632" w:firstLineChars="200"/>
        <w:rPr>
          <w:rFonts w:hint="eastAsia" w:ascii="Times" w:hAnsi="Times" w:eastAsia="仿宋_GB2312" w:cs="Nimbus Roman No9 L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" w:hAnsi="Times" w:eastAsia="仿宋_GB2312" w:cs="Times"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根据本地区产、运、销规模和未来发展趋势，综合研判集散地、销地冷链设施总体缺口，在此基础上，</w:t>
      </w:r>
      <w:r>
        <w:rPr>
          <w:rFonts w:hint="eastAsia" w:ascii="Times" w:hAnsi="Times" w:eastAsia="仿宋_GB2312" w:cs="Times"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围绕本通知，结合摸底情况，提出本省</w:t>
      </w:r>
      <w:r>
        <w:rPr>
          <w:rFonts w:hint="default" w:ascii="Times" w:hAnsi="Times" w:eastAsia="仿宋_GB2312" w:cs="Times"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农产品供应链体系建设两年</w:t>
      </w:r>
      <w:r>
        <w:rPr>
          <w:rFonts w:hint="eastAsia" w:ascii="Times" w:hAnsi="Times" w:eastAsia="仿宋_GB2312" w:cs="Times"/>
          <w:color w:val="000000"/>
          <w:spacing w:val="-2"/>
          <w:sz w:val="32"/>
          <w:szCs w:val="32"/>
          <w:highlight w:val="none"/>
          <w:shd w:val="clear" w:color="auto" w:fill="auto"/>
          <w:lang w:val="en-US" w:eastAsia="zh-CN"/>
        </w:rPr>
        <w:t>总体</w:t>
      </w:r>
      <w:r>
        <w:rPr>
          <w:rFonts w:hint="default" w:ascii="Times" w:hAnsi="Times" w:eastAsia="仿宋_GB2312" w:cs="Times"/>
          <w:color w:val="000000"/>
          <w:spacing w:val="-2"/>
          <w:sz w:val="32"/>
          <w:szCs w:val="32"/>
          <w:highlight w:val="none"/>
          <w:shd w:val="clear" w:color="auto" w:fill="auto"/>
          <w:lang w:val="en-US" w:eastAsia="zh-CN"/>
        </w:rPr>
        <w:t>目标</w:t>
      </w:r>
      <w:r>
        <w:rPr>
          <w:rFonts w:hint="eastAsia" w:ascii="Times" w:hAnsi="Times" w:eastAsia="仿宋_GB2312" w:cs="Times"/>
          <w:color w:val="000000"/>
          <w:spacing w:val="-2"/>
          <w:sz w:val="32"/>
          <w:szCs w:val="32"/>
          <w:highlight w:val="none"/>
          <w:shd w:val="clear" w:color="auto" w:fill="auto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根据本省选择的支持方向，</w:t>
      </w:r>
      <w:r>
        <w:rPr>
          <w:rFonts w:hint="eastAsia" w:ascii="Times" w:hAnsi="Times" w:eastAsia="仿宋_GB2312" w:cs="Times"/>
          <w:color w:val="000000"/>
          <w:spacing w:val="-2"/>
          <w:sz w:val="32"/>
          <w:szCs w:val="32"/>
          <w:highlight w:val="none"/>
          <w:shd w:val="clear" w:color="auto" w:fill="auto"/>
          <w:lang w:val="en-US" w:eastAsia="zh-CN"/>
        </w:rPr>
        <w:t>细化分解总体目标</w:t>
      </w:r>
      <w:r>
        <w:rPr>
          <w:rFonts w:hint="default" w:ascii="Times" w:hAnsi="Times" w:eastAsia="仿宋_GB2312" w:cs="Times"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，按年度明确所需冷链设施的主要类型、布局和建设规模</w:t>
      </w:r>
      <w:r>
        <w:rPr>
          <w:rFonts w:hint="default" w:ascii="Times" w:hAnsi="Times" w:eastAsia="仿宋_GB2312" w:cs="Times"/>
          <w:color w:val="000000"/>
          <w:spacing w:val="-2"/>
          <w:sz w:val="32"/>
          <w:szCs w:val="32"/>
          <w:highlight w:val="none"/>
          <w:shd w:val="clear" w:color="auto" w:fill="auto"/>
          <w:lang w:val="en-US" w:eastAsia="zh-CN"/>
        </w:rPr>
        <w:t>。</w:t>
      </w:r>
      <w:r>
        <w:rPr>
          <w:rFonts w:hint="eastAsia" w:ascii="Times" w:hAnsi="Times" w:eastAsia="仿宋_GB2312" w:cs="Times"/>
          <w:color w:val="000000"/>
          <w:spacing w:val="-2"/>
          <w:sz w:val="32"/>
          <w:szCs w:val="32"/>
          <w:highlight w:val="none"/>
          <w:shd w:val="clear" w:color="auto" w:fill="auto"/>
          <w:lang w:val="en-US" w:eastAsia="zh-CN"/>
        </w:rPr>
        <w:t>有关目标任务要</w:t>
      </w:r>
      <w:r>
        <w:rPr>
          <w:rFonts w:hint="default" w:ascii="Times" w:hAnsi="Times" w:eastAsia="仿宋_GB2312" w:cs="Times"/>
          <w:color w:val="000000"/>
          <w:spacing w:val="-2"/>
          <w:sz w:val="32"/>
          <w:szCs w:val="32"/>
          <w:highlight w:val="none"/>
          <w:shd w:val="clear" w:color="auto" w:fill="auto"/>
          <w:lang w:val="en-US" w:eastAsia="zh-CN"/>
        </w:rPr>
        <w:t>可量化</w:t>
      </w:r>
      <w:r>
        <w:rPr>
          <w:rFonts w:hint="eastAsia" w:ascii="Times" w:hAnsi="Times" w:eastAsia="仿宋_GB2312" w:cs="Times"/>
          <w:color w:val="000000"/>
          <w:spacing w:val="-2"/>
          <w:sz w:val="32"/>
          <w:szCs w:val="32"/>
          <w:highlight w:val="none"/>
          <w:shd w:val="clear" w:color="auto" w:fill="auto"/>
          <w:lang w:val="en-US" w:eastAsia="zh-CN"/>
        </w:rPr>
        <w:t>、</w:t>
      </w:r>
      <w:r>
        <w:rPr>
          <w:rFonts w:hint="default" w:ascii="Times" w:hAnsi="Times" w:eastAsia="仿宋_GB2312" w:cs="Times"/>
          <w:color w:val="000000"/>
          <w:spacing w:val="-2"/>
          <w:sz w:val="32"/>
          <w:szCs w:val="32"/>
          <w:highlight w:val="none"/>
          <w:shd w:val="clear" w:color="auto" w:fill="auto"/>
          <w:lang w:val="en-US" w:eastAsia="zh-CN"/>
        </w:rPr>
        <w:t>可考核</w:t>
      </w:r>
      <w:r>
        <w:rPr>
          <w:rFonts w:hint="eastAsia" w:ascii="Times" w:hAnsi="Times" w:eastAsia="仿宋_GB2312" w:cs="Times"/>
          <w:color w:val="000000"/>
          <w:spacing w:val="-2"/>
          <w:sz w:val="32"/>
          <w:szCs w:val="32"/>
          <w:highlight w:val="none"/>
          <w:shd w:val="clear" w:color="auto" w:fill="auto"/>
          <w:lang w:val="en-US" w:eastAsia="zh-CN"/>
        </w:rPr>
        <w:t>，明确</w:t>
      </w:r>
      <w:r>
        <w:rPr>
          <w:rFonts w:hint="default" w:ascii="Times" w:hAnsi="Times" w:eastAsia="仿宋_GB2312" w:cs="Times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时间表、路线图</w:t>
      </w:r>
      <w:r>
        <w:rPr>
          <w:rFonts w:hint="eastAsia" w:ascii="Times" w:hAnsi="Times" w:eastAsia="仿宋_GB2312" w:cs="Times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和</w:t>
      </w:r>
      <w:r>
        <w:rPr>
          <w:rFonts w:hint="default" w:ascii="Times" w:hAnsi="Times" w:eastAsia="仿宋_GB2312" w:cs="Times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责任分工</w:t>
      </w:r>
      <w:r>
        <w:rPr>
          <w:rFonts w:hint="eastAsia" w:ascii="Times" w:hAnsi="Times" w:eastAsia="仿宋_GB2312" w:cs="Times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。</w:t>
      </w:r>
      <w:r>
        <w:rPr>
          <w:rFonts w:hint="default" w:ascii="Nuosu SIL" w:hAnsi="Nuosu SIL" w:eastAsia="仿宋_GB2312" w:cs="Nuosu SIL"/>
          <w:sz w:val="32"/>
          <w:szCs w:val="32"/>
          <w:lang w:eastAsia="zh-CN"/>
        </w:rPr>
        <w:t>工作方案应思路清晰、目标明确、重点突出、措施有效、责任明晰、数字详实</w:t>
      </w:r>
      <w:r>
        <w:rPr>
          <w:rFonts w:hint="eastAsia" w:ascii="Nuosu SIL" w:hAnsi="Nuosu SIL" w:eastAsia="仿宋_GB2312" w:cs="Nuosu SIL"/>
          <w:sz w:val="32"/>
          <w:szCs w:val="32"/>
          <w:lang w:val="en-US" w:eastAsia="zh-CN"/>
        </w:rPr>
        <w:t>。</w:t>
      </w:r>
      <w:r>
        <w:rPr>
          <w:rFonts w:hint="eastAsia" w:ascii="Times" w:hAnsi="Times" w:eastAsia="仿宋_GB2312" w:cs="Times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请填制《总体目标及年度分解任务表》</w:t>
      </w:r>
      <w:r>
        <w:rPr>
          <w:rFonts w:hint="default" w:ascii="Times" w:hAnsi="Times" w:eastAsia="仿宋_GB2312" w:cs="Times"/>
          <w:color w:val="000000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Times" w:hAnsi="Times" w:eastAsia="仿宋_GB2312" w:cs="Times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1</w:t>
      </w:r>
      <w:r>
        <w:rPr>
          <w:rFonts w:hint="default" w:ascii="Times" w:hAnsi="Times" w:eastAsia="仿宋_GB2312" w:cs="Times"/>
          <w:color w:val="000000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Times" w:hAnsi="Times" w:eastAsia="仿宋_GB2312" w:cs="Times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632" w:firstLineChars="200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黑体"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三</w:t>
      </w:r>
      <w:r>
        <w:rPr>
          <w:rFonts w:hint="eastAsia" w:ascii="Times New Roman" w:hAnsi="Times New Roman" w:eastAsia="黑体"/>
          <w:color w:val="000000"/>
          <w:spacing w:val="-2"/>
          <w:sz w:val="32"/>
          <w:szCs w:val="32"/>
          <w:highlight w:val="none"/>
          <w:shd w:val="clear" w:color="auto" w:fill="auto"/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val="en-US" w:eastAsia="zh-CN"/>
        </w:rPr>
        <w:t>重点工作</w:t>
      </w:r>
    </w:p>
    <w:p>
      <w:pPr>
        <w:autoSpaceDE w:val="0"/>
        <w:autoSpaceDN w:val="0"/>
        <w:adjustRightInd w:val="0"/>
        <w:snapToGrid w:val="0"/>
        <w:spacing w:line="360" w:lineRule="auto"/>
        <w:ind w:firstLine="642" w:firstLineChars="200"/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（一）</w:t>
      </w:r>
      <w:r>
        <w:rPr>
          <w:rFonts w:hint="default" w:ascii="楷体" w:hAnsi="楷体" w:eastAsia="楷体" w:cs="楷体"/>
          <w:b/>
          <w:bCs/>
          <w:sz w:val="32"/>
          <w:szCs w:val="32"/>
          <w:highlight w:val="none"/>
          <w:shd w:val="clear" w:color="auto" w:fill="auto"/>
          <w:lang w:eastAsia="zh-CN"/>
        </w:rPr>
        <w:t>增强农产品批发市场冷链流通能力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auto"/>
          <w:lang w:eastAsia="zh-CN"/>
        </w:rPr>
        <w:t>。（必填）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642" w:firstLineChars="200"/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（二）</w:t>
      </w:r>
      <w:r>
        <w:rPr>
          <w:rFonts w:hint="default" w:ascii="楷体" w:hAnsi="楷体" w:eastAsia="楷体" w:cs="楷体"/>
          <w:b/>
          <w:bCs/>
          <w:sz w:val="32"/>
          <w:szCs w:val="32"/>
          <w:highlight w:val="none"/>
          <w:shd w:val="clear" w:color="auto" w:fill="auto"/>
          <w:lang w:eastAsia="zh-CN"/>
        </w:rPr>
        <w:t>提高冷链物流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auto"/>
          <w:lang w:eastAsia="zh-CN"/>
        </w:rPr>
        <w:t>重点干支线配送</w:t>
      </w:r>
      <w:r>
        <w:rPr>
          <w:rFonts w:hint="default" w:ascii="楷体" w:hAnsi="楷体" w:eastAsia="楷体" w:cs="楷体"/>
          <w:b/>
          <w:bCs/>
          <w:sz w:val="32"/>
          <w:szCs w:val="32"/>
          <w:highlight w:val="none"/>
          <w:shd w:val="clear" w:color="auto" w:fill="auto"/>
          <w:lang w:eastAsia="zh-CN"/>
        </w:rPr>
        <w:t>效率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。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auto"/>
          <w:lang w:eastAsia="zh-CN"/>
        </w:rPr>
        <w:t>（必填）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642" w:firstLineChars="200"/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（三）</w:t>
      </w:r>
      <w:r>
        <w:rPr>
          <w:rFonts w:hint="default" w:ascii="楷体" w:hAnsi="楷体" w:eastAsia="楷体" w:cs="楷体"/>
          <w:b/>
          <w:bCs/>
          <w:sz w:val="32"/>
          <w:szCs w:val="32"/>
          <w:highlight w:val="none"/>
          <w:shd w:val="clear" w:color="auto" w:fill="auto"/>
          <w:lang w:eastAsia="zh-CN"/>
        </w:rPr>
        <w:t>完善农产品零售终端冷链环境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。（选填）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642" w:firstLineChars="200"/>
        <w:rPr>
          <w:rFonts w:hint="eastAsia"/>
          <w:lang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highlight w:val="none"/>
          <w:shd w:val="clear" w:color="auto" w:fill="auto"/>
          <w:lang w:eastAsia="zh-CN"/>
        </w:rPr>
        <w:t>（四）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auto"/>
          <w:lang w:eastAsia="zh-CN"/>
        </w:rPr>
        <w:t>统筹</w:t>
      </w:r>
      <w:r>
        <w:rPr>
          <w:rFonts w:hint="default" w:ascii="楷体" w:hAnsi="楷体" w:eastAsia="楷体" w:cs="楷体"/>
          <w:b/>
          <w:bCs/>
          <w:sz w:val="32"/>
          <w:szCs w:val="32"/>
          <w:highlight w:val="none"/>
          <w:shd w:val="clear" w:color="auto" w:fill="auto"/>
          <w:lang w:eastAsia="zh-CN"/>
        </w:rPr>
        <w:t>支持农产品市场保供。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（选填）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632" w:firstLineChars="200"/>
        <w:rPr>
          <w:rFonts w:hint="eastAsia" w:ascii="Times New Roman" w:hAnsi="Times New Roman" w:eastAsia="黑体"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黑体"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四、</w:t>
      </w:r>
      <w:r>
        <w:rPr>
          <w:rFonts w:hint="default" w:ascii="Times New Roman" w:hAnsi="Times New Roman" w:eastAsia="黑体"/>
          <w:color w:val="000000"/>
          <w:spacing w:val="-2"/>
          <w:sz w:val="32"/>
          <w:szCs w:val="32"/>
          <w:highlight w:val="none"/>
          <w:shd w:val="clear" w:color="auto" w:fill="auto"/>
        </w:rPr>
        <w:t>资金安排</w:t>
      </w:r>
      <w:r>
        <w:rPr>
          <w:rFonts w:hint="eastAsia" w:ascii="Times New Roman" w:hAnsi="Times New Roman" w:eastAsia="黑体"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及项目计划</w:t>
      </w:r>
    </w:p>
    <w:p>
      <w:pPr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default" w:ascii="Times" w:hAnsi="Times" w:eastAsia="仿宋_GB2312" w:cs="Times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Times" w:hAnsi="Times" w:eastAsia="仿宋_GB2312" w:cs="Times"/>
          <w:sz w:val="32"/>
          <w:szCs w:val="32"/>
          <w:highlight w:val="none"/>
          <w:shd w:val="clear" w:color="auto" w:fill="auto"/>
          <w:lang w:eastAsia="zh-CN"/>
        </w:rPr>
        <w:t>各省</w:t>
      </w:r>
      <w:r>
        <w:rPr>
          <w:rFonts w:hint="default" w:ascii="Times" w:hAnsi="Times" w:eastAsia="仿宋_GB2312" w:cs="Times"/>
          <w:sz w:val="32"/>
          <w:szCs w:val="32"/>
          <w:highlight w:val="none"/>
          <w:shd w:val="clear" w:color="auto" w:fill="auto"/>
          <w:lang w:eastAsia="zh-CN"/>
        </w:rPr>
        <w:t>自主统筹</w:t>
      </w:r>
      <w:r>
        <w:rPr>
          <w:rFonts w:hint="eastAsia" w:ascii="Times" w:hAnsi="Times" w:eastAsia="仿宋_GB2312" w:cs="Times"/>
          <w:sz w:val="32"/>
          <w:szCs w:val="32"/>
          <w:highlight w:val="none"/>
          <w:shd w:val="clear" w:color="auto" w:fill="auto"/>
          <w:lang w:val="en-US" w:eastAsia="zh-CN"/>
        </w:rPr>
        <w:t>安排</w:t>
      </w:r>
      <w:r>
        <w:rPr>
          <w:rFonts w:hint="default" w:ascii="Times" w:hAnsi="Times" w:eastAsia="仿宋_GB2312" w:cs="Times"/>
          <w:sz w:val="32"/>
          <w:szCs w:val="32"/>
          <w:highlight w:val="none"/>
          <w:shd w:val="clear" w:color="auto" w:fill="auto"/>
          <w:lang w:eastAsia="zh-CN"/>
        </w:rPr>
        <w:t>农产品供应链体系建设</w:t>
      </w:r>
      <w:r>
        <w:rPr>
          <w:rFonts w:hint="eastAsia" w:ascii="Times" w:hAnsi="Times" w:eastAsia="仿宋_GB2312" w:cs="Times"/>
          <w:sz w:val="32"/>
          <w:szCs w:val="32"/>
          <w:highlight w:val="none"/>
          <w:shd w:val="clear" w:color="auto" w:fill="auto"/>
          <w:lang w:val="en-US" w:eastAsia="zh-CN"/>
        </w:rPr>
        <w:t>补助资金。</w:t>
      </w:r>
      <w:r>
        <w:rPr>
          <w:rFonts w:hint="default" w:ascii="Times" w:hAnsi="Times" w:eastAsia="仿宋_GB2312" w:cs="Times"/>
          <w:sz w:val="32"/>
          <w:szCs w:val="32"/>
          <w:highlight w:val="none"/>
          <w:shd w:val="clear" w:color="auto" w:fill="auto"/>
          <w:lang w:eastAsia="zh-CN"/>
        </w:rPr>
        <w:t>项目计划包括：</w:t>
      </w:r>
      <w:r>
        <w:rPr>
          <w:rFonts w:hint="eastAsia" w:ascii="Times" w:hAnsi="Times" w:eastAsia="仿宋_GB2312" w:cs="Times"/>
          <w:sz w:val="32"/>
          <w:szCs w:val="32"/>
          <w:highlight w:val="none"/>
          <w:shd w:val="clear" w:color="auto" w:fill="auto"/>
          <w:lang w:val="en-US" w:eastAsia="zh-CN"/>
        </w:rPr>
        <w:t>本省拟支持</w:t>
      </w:r>
      <w:r>
        <w:rPr>
          <w:rFonts w:hint="default" w:ascii="Times" w:hAnsi="Times" w:eastAsia="仿宋_GB2312" w:cs="Times"/>
          <w:sz w:val="32"/>
          <w:szCs w:val="32"/>
          <w:highlight w:val="none"/>
          <w:shd w:val="clear" w:color="auto" w:fill="auto"/>
          <w:lang w:eastAsia="zh-CN"/>
        </w:rPr>
        <w:t>项目</w:t>
      </w:r>
      <w:r>
        <w:rPr>
          <w:rFonts w:hint="eastAsia" w:ascii="Times" w:hAnsi="Times" w:eastAsia="仿宋_GB2312" w:cs="Times"/>
          <w:sz w:val="32"/>
          <w:szCs w:val="32"/>
          <w:highlight w:val="none"/>
          <w:shd w:val="clear" w:color="auto" w:fill="auto"/>
          <w:lang w:eastAsia="zh-CN"/>
        </w:rPr>
        <w:t>清单</w:t>
      </w:r>
      <w:r>
        <w:rPr>
          <w:rFonts w:hint="default" w:ascii="Times" w:hAnsi="Times" w:eastAsia="仿宋_GB2312" w:cs="Times"/>
          <w:sz w:val="32"/>
          <w:szCs w:val="32"/>
          <w:highlight w:val="none"/>
          <w:shd w:val="clear" w:color="auto" w:fill="auto"/>
          <w:lang w:eastAsia="zh-CN"/>
        </w:rPr>
        <w:t>以及项目选择</w:t>
      </w:r>
      <w:r>
        <w:rPr>
          <w:rFonts w:hint="eastAsia" w:ascii="Times" w:hAnsi="Times" w:eastAsia="仿宋_GB2312" w:cs="Times"/>
          <w:sz w:val="32"/>
          <w:szCs w:val="32"/>
          <w:highlight w:val="none"/>
          <w:shd w:val="clear" w:color="auto" w:fill="auto"/>
          <w:lang w:val="en-US" w:eastAsia="zh-CN"/>
        </w:rPr>
        <w:t>程序、依据</w:t>
      </w:r>
      <w:r>
        <w:rPr>
          <w:rFonts w:hint="default" w:ascii="Times" w:hAnsi="Times" w:eastAsia="仿宋_GB2312" w:cs="Times"/>
          <w:sz w:val="32"/>
          <w:szCs w:val="32"/>
          <w:highlight w:val="none"/>
          <w:shd w:val="clear" w:color="auto" w:fill="auto"/>
          <w:lang w:eastAsia="zh-CN"/>
        </w:rPr>
        <w:t>、责任主体等。</w:t>
      </w:r>
      <w:r>
        <w:rPr>
          <w:rFonts w:hint="eastAsia" w:ascii="Times" w:hAnsi="Times" w:eastAsia="仿宋_GB2312" w:cs="Times"/>
          <w:sz w:val="32"/>
          <w:szCs w:val="32"/>
          <w:highlight w:val="none"/>
          <w:shd w:val="clear" w:color="auto" w:fill="auto"/>
          <w:lang w:eastAsia="zh-CN"/>
        </w:rPr>
        <w:t>有关</w:t>
      </w:r>
      <w:r>
        <w:rPr>
          <w:rFonts w:hint="eastAsia" w:ascii="Times" w:hAnsi="Times" w:eastAsia="仿宋_GB2312" w:cs="Times"/>
          <w:sz w:val="32"/>
          <w:szCs w:val="32"/>
          <w:highlight w:val="none"/>
          <w:shd w:val="clear" w:color="auto" w:fill="auto"/>
          <w:lang w:val="en-US" w:eastAsia="zh-CN"/>
        </w:rPr>
        <w:t>项目应落实责任单位、考核安排、实施目标等，并注重项目的可持续性。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对在外地注册法人但在本地有实体的非法人机构，及在本地注册法人但在周边地区建设实体的机构，可在本地申报项目。</w:t>
      </w:r>
      <w:r>
        <w:rPr>
          <w:rFonts w:hint="eastAsia" w:ascii="Times" w:hAnsi="Times" w:eastAsia="仿宋_GB2312" w:cs="Times"/>
          <w:sz w:val="32"/>
          <w:szCs w:val="32"/>
          <w:highlight w:val="none"/>
          <w:u w:val="none"/>
          <w:shd w:val="clear" w:color="auto" w:fill="auto"/>
          <w:lang w:val="en-US" w:eastAsia="zh-CN"/>
        </w:rPr>
        <w:t>请填制《</w:t>
      </w:r>
      <w:r>
        <w:rPr>
          <w:rFonts w:hint="default" w:ascii="Times" w:hAnsi="Times" w:eastAsia="仿宋_GB2312" w:cs="Times"/>
          <w:sz w:val="32"/>
          <w:szCs w:val="32"/>
          <w:highlight w:val="none"/>
          <w:u w:val="none"/>
          <w:shd w:val="clear" w:color="auto" w:fill="auto"/>
          <w:lang w:eastAsia="zh-CN"/>
        </w:rPr>
        <w:t>农产品供应链体系建设</w:t>
      </w:r>
      <w:r>
        <w:rPr>
          <w:rFonts w:hint="eastAsia" w:ascii="Times" w:hAnsi="Times" w:eastAsia="仿宋_GB2312" w:cs="Times"/>
          <w:sz w:val="32"/>
          <w:szCs w:val="32"/>
          <w:highlight w:val="none"/>
          <w:u w:val="none"/>
          <w:shd w:val="clear" w:color="auto" w:fill="auto"/>
          <w:lang w:val="en-US" w:eastAsia="zh-CN"/>
        </w:rPr>
        <w:t>项目</w:t>
      </w:r>
      <w:r>
        <w:rPr>
          <w:rFonts w:hint="default" w:ascii="Times" w:hAnsi="Times" w:eastAsia="仿宋_GB2312" w:cs="Times"/>
          <w:sz w:val="32"/>
          <w:szCs w:val="32"/>
          <w:highlight w:val="none"/>
          <w:u w:val="none"/>
          <w:shd w:val="clear" w:color="auto" w:fill="auto"/>
          <w:lang w:eastAsia="zh-CN"/>
        </w:rPr>
        <w:t>清单</w:t>
      </w:r>
      <w:r>
        <w:rPr>
          <w:rFonts w:hint="eastAsia" w:ascii="Times" w:hAnsi="Times" w:eastAsia="仿宋_GB2312" w:cs="Times"/>
          <w:sz w:val="32"/>
          <w:szCs w:val="32"/>
          <w:highlight w:val="none"/>
          <w:u w:val="none"/>
          <w:shd w:val="clear" w:color="auto" w:fill="auto"/>
          <w:lang w:val="en-US" w:eastAsia="zh-CN"/>
        </w:rPr>
        <w:t>》</w:t>
      </w:r>
      <w:r>
        <w:rPr>
          <w:rFonts w:hint="default" w:ascii="Times" w:hAnsi="Times" w:eastAsia="仿宋_GB2312" w:cs="Times"/>
          <w:sz w:val="32"/>
          <w:szCs w:val="32"/>
          <w:highlight w:val="none"/>
          <w:u w:val="none"/>
          <w:shd w:val="clear" w:color="auto" w:fill="auto"/>
          <w:lang w:eastAsia="zh-CN"/>
        </w:rPr>
        <w:t>（</w:t>
      </w:r>
      <w:r>
        <w:rPr>
          <w:rFonts w:hint="eastAsia" w:ascii="Times" w:hAnsi="Times" w:eastAsia="仿宋_GB2312" w:cs="Times"/>
          <w:sz w:val="32"/>
          <w:szCs w:val="32"/>
          <w:highlight w:val="none"/>
          <w:u w:val="none"/>
          <w:shd w:val="clear" w:color="auto" w:fill="auto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shd w:val="clear" w:color="auto" w:fill="auto"/>
          <w:lang w:eastAsia="zh-CN"/>
        </w:rPr>
        <w:t>）</w:t>
      </w:r>
      <w:r>
        <w:rPr>
          <w:rFonts w:hint="eastAsia" w:ascii="Times" w:hAnsi="Times" w:eastAsia="仿宋_GB2312" w:cs="Times"/>
          <w:sz w:val="32"/>
          <w:szCs w:val="32"/>
          <w:highlight w:val="none"/>
          <w:u w:val="none"/>
          <w:shd w:val="clear" w:color="auto" w:fill="auto"/>
          <w:lang w:val="en-US" w:eastAsia="zh-CN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632" w:firstLineChars="200"/>
        <w:rPr>
          <w:rFonts w:hint="eastAsia" w:ascii="黑体" w:hAnsi="黑体" w:eastAsia="黑体" w:cs="黑体"/>
          <w:color w:val="000000"/>
          <w:spacing w:val="-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黑体" w:hAnsi="黑体" w:eastAsia="黑体" w:cs="黑体"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五</w:t>
      </w:r>
      <w:r>
        <w:rPr>
          <w:rFonts w:hint="eastAsia" w:ascii="黑体" w:hAnsi="黑体" w:eastAsia="黑体" w:cs="黑体"/>
          <w:color w:val="000000"/>
          <w:spacing w:val="-2"/>
          <w:sz w:val="32"/>
          <w:szCs w:val="32"/>
          <w:highlight w:val="none"/>
          <w:shd w:val="clear" w:color="auto" w:fill="auto"/>
          <w:lang w:val="en-US" w:eastAsia="zh-CN"/>
        </w:rPr>
        <w:t>、保障机制</w:t>
      </w:r>
    </w:p>
    <w:p>
      <w:pPr>
        <w:autoSpaceDE w:val="0"/>
        <w:autoSpaceDN w:val="0"/>
        <w:adjustRightInd w:val="0"/>
        <w:snapToGrid w:val="0"/>
        <w:spacing w:line="360" w:lineRule="auto"/>
        <w:ind w:firstLine="634" w:firstLineChars="200"/>
        <w:rPr>
          <w:rFonts w:hint="eastAsia" w:ascii="Times" w:hAnsi="Times" w:eastAsia="仿宋_GB2312" w:cs="Times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（一）资金管理制度。</w:t>
      </w:r>
      <w:r>
        <w:rPr>
          <w:rFonts w:hint="default" w:ascii="Times" w:hAnsi="Times" w:eastAsia="仿宋_GB2312" w:cs="Times"/>
          <w:b w:val="0"/>
          <w:bCs w:val="0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结合</w:t>
      </w:r>
      <w:r>
        <w:rPr>
          <w:rFonts w:hint="eastAsia" w:ascii="Times" w:hAnsi="Times" w:eastAsia="仿宋_GB2312" w:cs="Times"/>
          <w:b w:val="0"/>
          <w:bC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本</w:t>
      </w:r>
      <w:r>
        <w:rPr>
          <w:rFonts w:hint="eastAsia" w:ascii="Times" w:hAnsi="Times" w:eastAsia="仿宋_GB2312" w:cs="Times"/>
          <w:b w:val="0"/>
          <w:bC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通知</w:t>
      </w:r>
      <w:r>
        <w:rPr>
          <w:rFonts w:hint="default" w:ascii="Times" w:hAnsi="Times" w:eastAsia="仿宋_GB2312" w:cs="Times"/>
          <w:b w:val="0"/>
          <w:bCs w:val="0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明确的</w:t>
      </w:r>
      <w:r>
        <w:rPr>
          <w:rFonts w:hint="eastAsia" w:ascii="Times" w:hAnsi="Times" w:eastAsia="仿宋_GB2312" w:cs="Times"/>
          <w:b w:val="0"/>
          <w:bC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支持方向，</w:t>
      </w:r>
      <w:r>
        <w:rPr>
          <w:rFonts w:hint="default" w:ascii="Times" w:hAnsi="Times" w:eastAsia="仿宋_GB2312" w:cs="Times"/>
          <w:b w:val="0"/>
          <w:bCs w:val="0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进一步细化</w:t>
      </w:r>
      <w:r>
        <w:rPr>
          <w:rFonts w:hint="eastAsia" w:ascii="Times" w:hAnsi="Times" w:eastAsia="仿宋_GB2312" w:cs="Times"/>
          <w:sz w:val="32"/>
          <w:szCs w:val="32"/>
          <w:highlight w:val="none"/>
          <w:shd w:val="clear" w:color="auto" w:fill="auto"/>
          <w:lang w:val="en-US" w:eastAsia="zh-CN"/>
        </w:rPr>
        <w:t>提出</w:t>
      </w:r>
      <w:r>
        <w:rPr>
          <w:rFonts w:hint="default" w:ascii="Times" w:hAnsi="Times" w:eastAsia="仿宋_GB2312" w:cs="Times"/>
          <w:sz w:val="32"/>
          <w:szCs w:val="32"/>
          <w:highlight w:val="none"/>
          <w:shd w:val="clear" w:color="auto" w:fill="auto"/>
          <w:lang w:eastAsia="zh-CN"/>
        </w:rPr>
        <w:t>本省</w:t>
      </w:r>
      <w:r>
        <w:rPr>
          <w:rFonts w:hint="eastAsia" w:ascii="Times" w:hAnsi="Times" w:eastAsia="仿宋_GB2312" w:cs="Times"/>
          <w:sz w:val="32"/>
          <w:szCs w:val="32"/>
          <w:highlight w:val="none"/>
          <w:shd w:val="clear" w:color="auto" w:fill="auto"/>
          <w:lang w:val="en-US" w:eastAsia="zh-CN"/>
        </w:rPr>
        <w:t>资金</w:t>
      </w:r>
      <w:r>
        <w:rPr>
          <w:rFonts w:hint="eastAsia" w:ascii="Times" w:hAnsi="Times" w:eastAsia="仿宋_GB2312" w:cs="Times"/>
          <w:sz w:val="32"/>
          <w:szCs w:val="32"/>
          <w:highlight w:val="none"/>
          <w:shd w:val="clear" w:color="auto" w:fill="auto"/>
          <w:lang w:eastAsia="zh-CN"/>
        </w:rPr>
        <w:t>管理制度</w:t>
      </w:r>
      <w:r>
        <w:rPr>
          <w:rFonts w:hint="default" w:ascii="Times" w:hAnsi="Times" w:eastAsia="仿宋_GB2312" w:cs="Times"/>
          <w:sz w:val="32"/>
          <w:szCs w:val="32"/>
          <w:highlight w:val="none"/>
          <w:shd w:val="clear" w:color="auto" w:fill="auto"/>
          <w:lang w:eastAsia="zh-CN"/>
        </w:rPr>
        <w:t>，包括</w:t>
      </w:r>
      <w:r>
        <w:rPr>
          <w:rFonts w:hint="eastAsia" w:ascii="Times" w:hAnsi="Times" w:eastAsia="仿宋_GB2312" w:cs="Times"/>
          <w:sz w:val="32"/>
          <w:szCs w:val="32"/>
          <w:highlight w:val="none"/>
          <w:shd w:val="clear" w:color="auto" w:fill="auto"/>
          <w:lang w:val="en-US" w:eastAsia="zh-CN"/>
        </w:rPr>
        <w:t>支持方向、</w:t>
      </w:r>
      <w:r>
        <w:rPr>
          <w:rFonts w:hint="default" w:ascii="Times" w:hAnsi="Times" w:eastAsia="仿宋_GB2312" w:cs="Times"/>
          <w:sz w:val="32"/>
          <w:szCs w:val="32"/>
          <w:highlight w:val="none"/>
          <w:shd w:val="clear" w:color="auto" w:fill="auto"/>
          <w:lang w:eastAsia="zh-CN"/>
        </w:rPr>
        <w:t>项目类型、具体</w:t>
      </w:r>
      <w:r>
        <w:rPr>
          <w:rFonts w:hint="eastAsia" w:ascii="Times" w:hAnsi="Times" w:eastAsia="仿宋_GB2312" w:cs="Times"/>
          <w:sz w:val="32"/>
          <w:szCs w:val="32"/>
          <w:highlight w:val="none"/>
          <w:shd w:val="clear" w:color="auto" w:fill="auto"/>
          <w:lang w:eastAsia="zh-CN"/>
        </w:rPr>
        <w:t>内容</w:t>
      </w:r>
      <w:r>
        <w:rPr>
          <w:rFonts w:hint="default" w:ascii="Times" w:hAnsi="Times" w:eastAsia="仿宋_GB2312" w:cs="Times"/>
          <w:sz w:val="32"/>
          <w:szCs w:val="32"/>
          <w:highlight w:val="none"/>
          <w:shd w:val="clear" w:color="auto" w:fill="auto"/>
          <w:lang w:eastAsia="zh-CN"/>
        </w:rPr>
        <w:t>、支持</w:t>
      </w:r>
      <w:r>
        <w:rPr>
          <w:rFonts w:hint="eastAsia" w:ascii="Times" w:hAnsi="Times" w:eastAsia="仿宋_GB2312" w:cs="Times"/>
          <w:sz w:val="32"/>
          <w:szCs w:val="32"/>
          <w:highlight w:val="none"/>
          <w:shd w:val="clear" w:color="auto" w:fill="auto"/>
          <w:lang w:val="en-US" w:eastAsia="zh-CN"/>
        </w:rPr>
        <w:t>标准、绩效管理等。对于支持实施的项目应实事求是确定实施期限、支持条件、后续维护运营等要求，</w:t>
      </w:r>
      <w:r>
        <w:rPr>
          <w:rFonts w:hint="default" w:ascii="Times" w:hAnsi="Times" w:eastAsia="仿宋_GB2312" w:cs="Times"/>
          <w:sz w:val="32"/>
          <w:szCs w:val="32"/>
          <w:highlight w:val="none"/>
          <w:shd w:val="clear" w:color="auto" w:fill="auto"/>
          <w:lang w:eastAsia="zh-CN"/>
        </w:rPr>
        <w:t>并</w:t>
      </w:r>
      <w:r>
        <w:rPr>
          <w:rFonts w:hint="eastAsia" w:ascii="Times" w:hAnsi="Times" w:eastAsia="仿宋_GB2312" w:cs="Times"/>
          <w:sz w:val="32"/>
          <w:szCs w:val="32"/>
          <w:highlight w:val="none"/>
          <w:shd w:val="clear" w:color="auto" w:fill="auto"/>
          <w:lang w:val="en-US" w:eastAsia="zh-CN"/>
        </w:rPr>
        <w:t>建立相应的绩效评价指标体系等。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642" w:firstLineChars="200"/>
        <w:rPr>
          <w:rFonts w:hint="eastAsia" w:ascii="Times" w:hAnsi="Times" w:eastAsia="仿宋_GB2312" w:cs="Times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（二）项目管理制度。</w:t>
      </w:r>
      <w:r>
        <w:rPr>
          <w:rFonts w:hint="eastAsia" w:ascii="Times" w:hAnsi="Times" w:eastAsia="仿宋_GB2312" w:cs="Times"/>
          <w:sz w:val="32"/>
          <w:szCs w:val="32"/>
          <w:highlight w:val="none"/>
          <w:shd w:val="clear" w:color="auto" w:fill="auto"/>
          <w:lang w:val="en-US" w:eastAsia="zh-CN"/>
        </w:rPr>
        <w:t>提出项目遴选、组织实施、资金拨付、监督考核</w:t>
      </w:r>
      <w:r>
        <w:rPr>
          <w:rFonts w:hint="eastAsia" w:ascii="Times" w:hAnsi="Times" w:eastAsia="仿宋_GB2312" w:cs="Times"/>
          <w:sz w:val="32"/>
          <w:szCs w:val="32"/>
          <w:highlight w:val="none"/>
          <w:shd w:val="clear" w:color="auto" w:fill="auto"/>
          <w:lang w:val="en-US" w:eastAsia="zh-Hans"/>
        </w:rPr>
        <w:t>等</w:t>
      </w:r>
      <w:r>
        <w:rPr>
          <w:rFonts w:hint="eastAsia" w:ascii="Times" w:hAnsi="Times" w:eastAsia="仿宋_GB2312" w:cs="Times"/>
          <w:sz w:val="32"/>
          <w:szCs w:val="32"/>
          <w:highlight w:val="none"/>
          <w:shd w:val="clear" w:color="auto" w:fill="auto"/>
          <w:lang w:val="en-US" w:eastAsia="zh-CN"/>
        </w:rPr>
        <w:t>工作机制。要求</w:t>
      </w:r>
      <w:r>
        <w:rPr>
          <w:rFonts w:hint="eastAsia" w:ascii="Times" w:hAnsi="Times" w:eastAsia="仿宋_GB2312" w:cs="Nimbus Roman No9 L"/>
          <w:color w:val="000000"/>
          <w:sz w:val="32"/>
          <w:szCs w:val="32"/>
          <w:highlight w:val="none"/>
          <w:shd w:val="clear" w:color="auto" w:fill="auto"/>
          <w:lang w:eastAsia="zh-CN"/>
        </w:rPr>
        <w:t>建立“企业</w:t>
      </w:r>
      <w:r>
        <w:rPr>
          <w:rFonts w:hint="default" w:ascii="Times" w:hAnsi="Times" w:eastAsia="仿宋_GB2312" w:cs="Nimbus Roman No9 L"/>
          <w:color w:val="000000"/>
          <w:sz w:val="32"/>
          <w:szCs w:val="32"/>
          <w:highlight w:val="none"/>
          <w:shd w:val="clear" w:color="auto" w:fill="auto"/>
          <w:lang w:eastAsia="zh-CN"/>
        </w:rPr>
        <w:t>目</w:t>
      </w:r>
      <w:r>
        <w:rPr>
          <w:rFonts w:hint="eastAsia" w:ascii="Times" w:hAnsi="Times" w:eastAsia="仿宋_GB2312" w:cs="Nimbus Roman No9 L"/>
          <w:color w:val="000000"/>
          <w:sz w:val="32"/>
          <w:szCs w:val="32"/>
          <w:highlight w:val="none"/>
          <w:shd w:val="clear" w:color="auto" w:fill="auto"/>
          <w:lang w:eastAsia="zh-CN"/>
        </w:rPr>
        <w:t>录</w:t>
      </w:r>
      <w:r>
        <w:rPr>
          <w:rFonts w:hint="eastAsia" w:ascii="Times" w:hAnsi="Times" w:eastAsia="仿宋_GB2312" w:cs="Nimbus Roman No9 L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+项目</w:t>
      </w:r>
      <w:r>
        <w:rPr>
          <w:rFonts w:hint="default" w:ascii="Times" w:hAnsi="Times" w:eastAsia="仿宋_GB2312" w:cs="Nimbus Roman No9 L"/>
          <w:color w:val="000000"/>
          <w:sz w:val="32"/>
          <w:szCs w:val="32"/>
          <w:highlight w:val="none"/>
          <w:shd w:val="clear" w:color="auto" w:fill="auto"/>
          <w:lang w:eastAsia="zh-CN"/>
        </w:rPr>
        <w:t>清单</w:t>
      </w:r>
      <w:r>
        <w:rPr>
          <w:rFonts w:hint="eastAsia" w:ascii="Times" w:hAnsi="Times" w:eastAsia="仿宋_GB2312" w:cs="Nimbus Roman No9 L"/>
          <w:color w:val="000000"/>
          <w:sz w:val="32"/>
          <w:szCs w:val="32"/>
          <w:highlight w:val="none"/>
          <w:shd w:val="clear" w:color="auto" w:fill="auto"/>
          <w:lang w:eastAsia="zh-CN"/>
        </w:rPr>
        <w:t>”机制，加强项目管理。</w:t>
      </w:r>
      <w:r>
        <w:rPr>
          <w:rFonts w:hint="eastAsia" w:ascii="Times" w:hAnsi="Times" w:eastAsia="仿宋_GB2312" w:cs="Times"/>
          <w:sz w:val="32"/>
          <w:szCs w:val="32"/>
          <w:highlight w:val="none"/>
          <w:shd w:val="clear" w:color="auto" w:fill="auto"/>
          <w:lang w:val="en-US" w:eastAsia="zh-CN"/>
        </w:rPr>
        <w:t>明确项目验收主体、要件、验收流程等，形成</w:t>
      </w:r>
      <w:r>
        <w:rPr>
          <w:rFonts w:hint="default" w:ascii="Times" w:hAnsi="Times" w:eastAsia="仿宋_GB2312" w:cs="Times"/>
          <w:sz w:val="32"/>
          <w:szCs w:val="32"/>
          <w:highlight w:val="none"/>
          <w:shd w:val="clear" w:color="auto" w:fill="auto"/>
          <w:lang w:eastAsia="zh-CN"/>
        </w:rPr>
        <w:t>项目可持续发挥作用的</w:t>
      </w:r>
      <w:r>
        <w:rPr>
          <w:rFonts w:hint="eastAsia" w:ascii="Times" w:hAnsi="Times" w:eastAsia="仿宋_GB2312" w:cs="Times"/>
          <w:sz w:val="32"/>
          <w:szCs w:val="32"/>
          <w:highlight w:val="none"/>
          <w:shd w:val="clear" w:color="auto" w:fill="auto"/>
          <w:lang w:val="en-US" w:eastAsia="zh-CN"/>
        </w:rPr>
        <w:t>长效机制。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634" w:firstLineChars="200"/>
        <w:rPr>
          <w:rFonts w:hint="eastAsia" w:ascii="Times New Roman" w:hAnsi="Times New Roman" w:eastAsia="仿宋_GB2312"/>
          <w:color w:val="000000"/>
          <w:spacing w:val="-2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/>
          <w:bCs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（三）日常监督机制。</w:t>
      </w:r>
      <w:r>
        <w:rPr>
          <w:rFonts w:hint="eastAsia" w:ascii="Times New Roman" w:hAnsi="Times New Roman" w:eastAsia="仿宋_GB2312"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省级财政、商务主管部门加强机制管理、资源统筹、经费保障等措施，鼓励发挥第三方机构作用。调动地市级主管部门积极性、主动性，在日常监管中履行属地管理责任。可引入审计、监理咨询等第三方机构，规范决策过程，加强资金和项目审核。</w:t>
      </w:r>
      <w:r>
        <w:rPr>
          <w:rFonts w:hint="eastAsia" w:ascii="Times New Roman" w:hAnsi="Times New Roman" w:eastAsia="仿宋_GB2312"/>
          <w:color w:val="000000"/>
          <w:spacing w:val="-2"/>
          <w:sz w:val="32"/>
          <w:szCs w:val="32"/>
          <w:highlight w:val="none"/>
          <w:shd w:val="clear" w:color="auto" w:fill="auto"/>
          <w:lang w:val="en-US" w:eastAsia="zh-CN"/>
        </w:rPr>
        <w:t xml:space="preserve"> </w:t>
      </w:r>
    </w:p>
    <w:p>
      <w:pPr>
        <w:autoSpaceDE w:val="0"/>
        <w:autoSpaceDN w:val="0"/>
        <w:adjustRightInd w:val="0"/>
        <w:snapToGrid w:val="0"/>
        <w:spacing w:line="360" w:lineRule="auto"/>
        <w:ind w:firstLine="634" w:firstLineChars="200"/>
        <w:rPr>
          <w:rFonts w:hint="eastAsia" w:ascii="Times" w:hAnsi="Times" w:eastAsia="仿宋_GB2312" w:cs="Nimbus Roman No9 L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（四）信息公开机制。</w:t>
      </w:r>
      <w:r>
        <w:rPr>
          <w:rFonts w:hint="eastAsia" w:ascii="Times New Roman" w:hAnsi="Times New Roman" w:eastAsia="仿宋_GB2312"/>
          <w:color w:val="000000"/>
          <w:spacing w:val="-2"/>
          <w:sz w:val="32"/>
          <w:szCs w:val="32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000000"/>
          <w:spacing w:val="-2"/>
          <w:sz w:val="32"/>
          <w:szCs w:val="32"/>
          <w:highlight w:val="none"/>
          <w:shd w:val="clear" w:color="auto" w:fill="auto"/>
        </w:rPr>
        <w:t>进一步加强政务公开和信息报送的政策措施，省级</w:t>
      </w:r>
      <w:r>
        <w:rPr>
          <w:rFonts w:hint="eastAsia" w:ascii="Times New Roman" w:hAnsi="Times New Roman" w:eastAsia="仿宋_GB2312"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商务、财政</w:t>
      </w:r>
      <w:r>
        <w:rPr>
          <w:rFonts w:hint="eastAsia" w:ascii="Times New Roman" w:hAnsi="Times New Roman" w:eastAsia="仿宋_GB2312"/>
          <w:color w:val="000000"/>
          <w:spacing w:val="-2"/>
          <w:sz w:val="32"/>
          <w:szCs w:val="32"/>
          <w:highlight w:val="none"/>
          <w:shd w:val="clear" w:color="auto" w:fill="auto"/>
        </w:rPr>
        <w:t>主管部门设置公开专栏情况。</w:t>
      </w:r>
      <w:r>
        <w:rPr>
          <w:rFonts w:hint="eastAsia" w:ascii="Times New Roman" w:hAnsi="Times New Roman" w:eastAsia="仿宋_GB2312"/>
          <w:color w:val="000000"/>
          <w:spacing w:val="-2"/>
          <w:sz w:val="32"/>
          <w:szCs w:val="32"/>
          <w:highlight w:val="none"/>
          <w:shd w:val="clear" w:color="auto" w:fill="auto"/>
          <w:lang w:eastAsia="zh-CN"/>
        </w:rPr>
        <w:t>明确</w:t>
      </w:r>
      <w:r>
        <w:rPr>
          <w:rFonts w:hint="eastAsia" w:ascii="Times" w:hAnsi="Times" w:eastAsia="仿宋_GB2312" w:cs="Nimbus Roman No9 L"/>
          <w:color w:val="000000"/>
          <w:sz w:val="32"/>
          <w:szCs w:val="32"/>
          <w:highlight w:val="none"/>
          <w:shd w:val="clear" w:color="auto" w:fill="auto"/>
          <w:lang w:eastAsia="zh-CN"/>
        </w:rPr>
        <w:t>凡是获得</w:t>
      </w:r>
      <w:r>
        <w:rPr>
          <w:rFonts w:hint="eastAsia" w:ascii="Times" w:hAnsi="Times" w:eastAsia="仿宋_GB2312" w:cs="Nimbus Roman No9 L"/>
          <w:color w:val="000000"/>
          <w:sz w:val="32"/>
          <w:szCs w:val="32"/>
          <w:highlight w:val="none"/>
          <w:shd w:val="clear" w:color="auto" w:fill="auto"/>
          <w:lang w:val="en-US" w:eastAsia="zh-Hans"/>
        </w:rPr>
        <w:t>服务业资金</w:t>
      </w:r>
      <w:r>
        <w:rPr>
          <w:rFonts w:hint="eastAsia" w:ascii="Times" w:hAnsi="Times" w:eastAsia="仿宋_GB2312" w:cs="Nimbus Roman No9 L"/>
          <w:color w:val="000000"/>
          <w:sz w:val="32"/>
          <w:szCs w:val="32"/>
          <w:highlight w:val="none"/>
          <w:shd w:val="clear" w:color="auto" w:fill="auto"/>
          <w:lang w:eastAsia="zh-CN"/>
        </w:rPr>
        <w:t>的地方和企业，须按要求填报项目相关信息数据</w:t>
      </w:r>
      <w:r>
        <w:rPr>
          <w:rFonts w:hint="default" w:ascii="Times" w:hAnsi="Times" w:eastAsia="仿宋_GB2312" w:cs="Nimbus Roman No9 L"/>
          <w:color w:val="000000"/>
          <w:sz w:val="32"/>
          <w:szCs w:val="32"/>
          <w:highlight w:val="none"/>
          <w:shd w:val="clear" w:color="auto" w:fill="auto"/>
          <w:lang w:eastAsia="zh-CN"/>
        </w:rPr>
        <w:t>和日常业务经营数据</w:t>
      </w:r>
      <w:r>
        <w:rPr>
          <w:rFonts w:hint="eastAsia" w:ascii="Times" w:hAnsi="Times" w:eastAsia="仿宋_GB2312" w:cs="Nimbus Roman No9 L"/>
          <w:color w:val="000000"/>
          <w:sz w:val="32"/>
          <w:szCs w:val="32"/>
          <w:highlight w:val="none"/>
          <w:shd w:val="clear" w:color="auto" w:fill="auto"/>
          <w:lang w:eastAsia="zh-CN"/>
        </w:rPr>
        <w:t>，各级主管部门依法保护信息安全。</w:t>
      </w:r>
      <w:r>
        <w:rPr>
          <w:rFonts w:hint="eastAsia" w:ascii="Times" w:hAnsi="Times" w:eastAsia="仿宋_GB2312" w:cs="Nimbus Roman No9 L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 xml:space="preserve">          </w:t>
      </w:r>
    </w:p>
    <w:p>
      <w:pPr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附：1.总体目标及年度分解任务表</w:t>
      </w:r>
    </w:p>
    <w:p>
      <w:pPr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default" w:ascii="Times" w:hAnsi="Times" w:eastAsia="仿宋_GB2312" w:cs="Nimbus Roman No9 L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农产品</w:t>
      </w:r>
      <w:r>
        <w:rPr>
          <w:rFonts w:hint="default" w:ascii="Times" w:hAnsi="Times" w:eastAsia="仿宋_GB2312" w:cs="Nimbus Roman No9 L"/>
          <w:color w:val="000000"/>
          <w:sz w:val="32"/>
          <w:szCs w:val="32"/>
          <w:highlight w:val="none"/>
          <w:shd w:val="clear" w:color="auto" w:fill="auto"/>
          <w:lang w:eastAsia="zh-CN"/>
        </w:rPr>
        <w:t>供应链体系建设</w:t>
      </w:r>
      <w:r>
        <w:rPr>
          <w:rFonts w:hint="eastAsia" w:ascii="Times" w:hAnsi="Times" w:eastAsia="仿宋_GB2312" w:cs="Nimbus Roman No9 L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项目</w:t>
      </w:r>
      <w:r>
        <w:rPr>
          <w:rFonts w:hint="default" w:ascii="Times" w:hAnsi="Times" w:eastAsia="仿宋_GB2312" w:cs="Nimbus Roman No9 L"/>
          <w:color w:val="000000"/>
          <w:sz w:val="32"/>
          <w:szCs w:val="32"/>
          <w:highlight w:val="none"/>
          <w:shd w:val="clear" w:color="auto" w:fill="auto"/>
          <w:lang w:eastAsia="zh-CN"/>
        </w:rPr>
        <w:t>清单</w:t>
      </w:r>
      <w:r>
        <w:rPr>
          <w:rFonts w:hint="eastAsia" w:ascii="Times" w:hAnsi="Times" w:eastAsia="仿宋_GB2312" w:cs="Nimbus Roman No9 L"/>
          <w:color w:val="000000"/>
          <w:sz w:val="32"/>
          <w:szCs w:val="32"/>
          <w:highlight w:val="none"/>
          <w:shd w:val="clear" w:color="auto" w:fill="auto"/>
          <w:lang w:eastAsia="zh-CN"/>
        </w:rPr>
        <w:t>（示例）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default" w:ascii="Times" w:hAnsi="Times" w:eastAsia="仿宋_GB2312" w:cs="Nimbus Roman No9 L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pStyle w:val="2"/>
        <w:spacing w:line="360" w:lineRule="auto"/>
        <w:ind w:firstLine="0"/>
        <w:jc w:val="left"/>
        <w:rPr>
          <w:rFonts w:hint="default" w:ascii="黑体" w:hAnsi="黑体" w:eastAsia="黑体" w:cs="黑体"/>
          <w:color w:val="000000"/>
          <w:spacing w:val="-2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default" w:ascii="黑体" w:hAnsi="黑体" w:eastAsia="黑体" w:cs="黑体"/>
          <w:color w:val="000000"/>
          <w:spacing w:val="-2"/>
          <w:sz w:val="28"/>
          <w:szCs w:val="28"/>
          <w:highlight w:val="none"/>
          <w:shd w:val="clear" w:color="auto" w:fill="auto"/>
          <w:lang w:eastAsia="zh-CN"/>
        </w:rPr>
        <w:t>附1</w:t>
      </w:r>
    </w:p>
    <w:p>
      <w:pPr>
        <w:pStyle w:val="2"/>
        <w:spacing w:line="360" w:lineRule="auto"/>
        <w:ind w:firstLine="0"/>
        <w:jc w:val="center"/>
        <w:rPr>
          <w:rFonts w:hint="eastAsia" w:ascii="黑体" w:hAnsi="黑体" w:eastAsia="黑体" w:cs="黑体"/>
          <w:color w:val="000000"/>
          <w:spacing w:val="-2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default" w:ascii="黑体" w:hAnsi="黑体" w:eastAsia="黑体" w:cs="黑体"/>
          <w:color w:val="000000"/>
          <w:spacing w:val="-2"/>
          <w:sz w:val="28"/>
          <w:szCs w:val="28"/>
          <w:highlight w:val="none"/>
          <w:shd w:val="clear" w:color="auto" w:fill="auto"/>
          <w:lang w:eastAsia="zh-CN"/>
        </w:rPr>
        <w:t>总体目标及年度分解任务</w:t>
      </w:r>
      <w:r>
        <w:rPr>
          <w:rFonts w:hint="eastAsia" w:ascii="黑体" w:hAnsi="黑体" w:eastAsia="黑体" w:cs="黑体"/>
          <w:color w:val="000000"/>
          <w:spacing w:val="-2"/>
          <w:sz w:val="28"/>
          <w:szCs w:val="28"/>
          <w:highlight w:val="none"/>
          <w:shd w:val="clear" w:color="auto" w:fill="auto"/>
          <w:lang w:eastAsia="zh-CN"/>
        </w:rPr>
        <w:t>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3053"/>
        <w:gridCol w:w="1500"/>
        <w:gridCol w:w="1435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支持方向</w:t>
            </w:r>
          </w:p>
        </w:tc>
        <w:tc>
          <w:tcPr>
            <w:tcW w:w="3053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指标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2021年底数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2022年</w:t>
            </w:r>
            <w:r>
              <w:rPr>
                <w:rFonts w:hint="default" w:ascii="黑体" w:hAnsi="黑体" w:eastAsia="黑体" w:cs="黑体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目标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2023年目标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restart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增强农产品批发市场冷链流通能力*</w:t>
            </w:r>
          </w:p>
        </w:tc>
        <w:tc>
          <w:tcPr>
            <w:tcW w:w="3053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 xml:space="preserve">农产品批发市场冷库库容  </w:t>
            </w:r>
            <w:r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 xml:space="preserve">   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xx</w:t>
            </w:r>
            <w:r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m³</w:t>
            </w:r>
            <w:r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）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其中：公共冷库库容*</w:t>
            </w:r>
            <w:r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 xml:space="preserve">      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xx</w:t>
            </w:r>
            <w:r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m³</w:t>
            </w:r>
            <w:r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）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 xml:space="preserve">加工配送中心库容*   </w:t>
            </w:r>
            <w:r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 xml:space="preserve">   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xx</w:t>
            </w:r>
            <w:r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m³</w:t>
            </w:r>
            <w:r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）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 xml:space="preserve">中央厨房冷藏能力      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xx</w:t>
            </w:r>
            <w:r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m³</w:t>
            </w:r>
            <w:r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）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 xml:space="preserve">其他冷链设施          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xx</w:t>
            </w:r>
            <w:r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m³</w:t>
            </w:r>
            <w:r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）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……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……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restart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提高</w:t>
            </w:r>
            <w:r>
              <w:rPr>
                <w:rFonts w:hint="eastAsia" w:ascii="黑体" w:hAnsi="黑体" w:eastAsia="黑体" w:cs="黑体"/>
                <w:b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冷链物流重点干支线配送</w:t>
            </w:r>
            <w:r>
              <w:rPr>
                <w:rFonts w:hint="default" w:ascii="黑体" w:hAnsi="黑体" w:eastAsia="黑体" w:cs="黑体"/>
                <w:b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效率*</w:t>
            </w:r>
          </w:p>
        </w:tc>
        <w:tc>
          <w:tcPr>
            <w:tcW w:w="3053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 xml:space="preserve">销地冷链集配中心（多温区）  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 xml:space="preserve">数量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xx</w:t>
            </w:r>
            <w:r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（个）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 xml:space="preserve">库容*     </w:t>
            </w:r>
            <w:r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 xml:space="preserve"> 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xx</w:t>
            </w:r>
            <w:r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m³</w:t>
            </w:r>
            <w:r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）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pStyle w:val="2"/>
              <w:spacing w:line="240" w:lineRule="auto"/>
              <w:jc w:val="center"/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 xml:space="preserve">冷藏车辆    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xx</w:t>
            </w:r>
            <w:r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（辆）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 xml:space="preserve">低温配送中心 </w:t>
            </w:r>
            <w:r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 xml:space="preserve">     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 xml:space="preserve">数量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xx</w:t>
            </w:r>
            <w:r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（个）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 xml:space="preserve">库容*  </w:t>
            </w:r>
            <w:r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 xml:space="preserve">    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xx</w:t>
            </w:r>
            <w:r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m³</w:t>
            </w:r>
            <w:r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）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 xml:space="preserve">冷藏车辆    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xx</w:t>
            </w:r>
            <w:r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（辆）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 xml:space="preserve">农产品冷链物流园区   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数量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xx</w:t>
            </w:r>
            <w:r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（个）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 xml:space="preserve">库容       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xx</w:t>
            </w:r>
            <w:r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m³</w:t>
            </w:r>
            <w:r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）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 xml:space="preserve">冷藏车辆    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xx</w:t>
            </w:r>
            <w:r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（辆）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 xml:space="preserve">其他类型农产品冷链设施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 xml:space="preserve">库容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xx</w:t>
            </w:r>
            <w:r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m³</w:t>
            </w:r>
            <w:r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）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 xml:space="preserve">冷藏车辆    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xx</w:t>
            </w:r>
            <w:r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（辆）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……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……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98" w:type="dxa"/>
            <w:vMerge w:val="restart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完善农产品零售终端冷链环境</w:t>
            </w:r>
          </w:p>
          <w:p>
            <w:pPr>
              <w:pStyle w:val="2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 xml:space="preserve">连锁商超终端冷藏能力   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xx</w:t>
            </w:r>
            <w:r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m³</w:t>
            </w:r>
            <w:r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）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pStyle w:val="2"/>
              <w:spacing w:line="240" w:lineRule="auto"/>
              <w:jc w:val="center"/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农贸市场</w:t>
            </w:r>
            <w:r>
              <w:rPr>
                <w:rFonts w:hint="default" w:ascii="宋体" w:hAnsi="宋体" w:eastAsia="宋体" w:cs="宋体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 xml:space="preserve">、菜市场冷藏能力  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xx</w:t>
            </w:r>
            <w:r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m³</w:t>
            </w:r>
            <w:r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）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 xml:space="preserve">生鲜电商等社区前置仓数量  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xx</w:t>
            </w:r>
            <w:r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（个）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pStyle w:val="2"/>
              <w:spacing w:line="240" w:lineRule="auto"/>
              <w:jc w:val="center"/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 xml:space="preserve">社区前置仓冷库库容       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xx</w:t>
            </w:r>
            <w:r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m³</w:t>
            </w:r>
            <w:r>
              <w:rPr>
                <w:rFonts w:hint="default" w:ascii="仿宋_GB2312" w:hAnsi="仿宋_GB2312" w:eastAsia="仿宋_GB2312" w:cs="仿宋_GB2312"/>
                <w:bC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）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pStyle w:val="2"/>
              <w:spacing w:line="240" w:lineRule="auto"/>
              <w:jc w:val="center"/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……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……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29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-2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统筹支持农产品市场保供</w:t>
            </w:r>
          </w:p>
        </w:tc>
        <w:tc>
          <w:tcPr>
            <w:tcW w:w="3053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</w:tr>
    </w:tbl>
    <w:p>
      <w:pPr>
        <w:spacing w:line="360" w:lineRule="auto"/>
        <w:rPr>
          <w:rFonts w:hint="default"/>
        </w:rPr>
      </w:pPr>
      <w:r>
        <w:rPr>
          <w:rFonts w:hint="eastAsia"/>
          <w:lang w:eastAsia="zh-CN"/>
        </w:rPr>
        <w:t>注：标注“</w:t>
      </w:r>
      <w:r>
        <w:rPr>
          <w:rFonts w:hint="default" w:ascii="宋体" w:hAnsi="宋体" w:eastAsia="宋体" w:cs="宋体"/>
          <w:color w:val="000000"/>
          <w:spacing w:val="-2"/>
          <w:sz w:val="21"/>
          <w:szCs w:val="21"/>
          <w:highlight w:val="none"/>
          <w:shd w:val="clear" w:color="auto" w:fill="auto"/>
          <w:vertAlign w:val="baseline"/>
          <w:lang w:eastAsia="zh-CN"/>
        </w:rPr>
        <w:t>*</w:t>
      </w:r>
      <w:r>
        <w:rPr>
          <w:rFonts w:hint="eastAsia"/>
          <w:lang w:eastAsia="zh-CN"/>
        </w:rPr>
        <w:t>”的支持方向和指标为必填项。</w:t>
      </w:r>
    </w:p>
    <w:p/>
    <w:p>
      <w:pPr>
        <w:pStyle w:val="2"/>
        <w:keepLines w:val="0"/>
        <w:spacing w:line="360" w:lineRule="auto"/>
        <w:ind w:firstLine="0"/>
        <w:jc w:val="left"/>
        <w:rPr>
          <w:rFonts w:hint="default" w:ascii="黑体" w:hAnsi="黑体" w:eastAsia="黑体" w:cs="黑体"/>
          <w:color w:val="000000"/>
          <w:spacing w:val="-2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2"/>
          <w:sz w:val="28"/>
          <w:szCs w:val="28"/>
          <w:highlight w:val="none"/>
          <w:shd w:val="clear" w:color="auto" w:fill="auto"/>
          <w:lang w:eastAsia="zh-CN"/>
        </w:rPr>
        <w:t>附</w:t>
      </w:r>
      <w:r>
        <w:rPr>
          <w:rFonts w:hint="eastAsia" w:ascii="黑体" w:hAnsi="黑体" w:eastAsia="黑体" w:cs="黑体"/>
          <w:color w:val="000000"/>
          <w:spacing w:val="-2"/>
          <w:sz w:val="28"/>
          <w:szCs w:val="28"/>
          <w:highlight w:val="none"/>
          <w:shd w:val="clear" w:color="auto" w:fill="auto"/>
          <w:lang w:val="en-US" w:eastAsia="zh-CN"/>
        </w:rPr>
        <w:t>2</w:t>
      </w:r>
    </w:p>
    <w:p>
      <w:pPr>
        <w:pStyle w:val="2"/>
        <w:keepLines w:val="0"/>
        <w:spacing w:line="360" w:lineRule="auto"/>
        <w:ind w:firstLine="0"/>
        <w:jc w:val="center"/>
        <w:rPr>
          <w:rFonts w:ascii="宋体" w:hAnsi="宋体" w:eastAsia="宋体" w:cs="宋体"/>
          <w:b/>
          <w:bCs w:val="0"/>
          <w:color w:val="000000"/>
          <w:spacing w:val="-2"/>
          <w:szCs w:val="21"/>
          <w:highlight w:val="none"/>
          <w:shd w:val="clear" w:color="auto" w:fill="auto"/>
        </w:rPr>
      </w:pPr>
      <w:r>
        <w:rPr>
          <w:rFonts w:hint="default" w:ascii="黑体" w:hAnsi="黑体" w:eastAsia="黑体" w:cs="黑体"/>
          <w:color w:val="000000"/>
          <w:spacing w:val="-2"/>
          <w:sz w:val="28"/>
          <w:szCs w:val="28"/>
          <w:highlight w:val="none"/>
          <w:shd w:val="clear" w:color="auto" w:fill="auto"/>
          <w:lang w:eastAsia="zh-CN"/>
        </w:rPr>
        <w:t>农产品供应链体系建设</w:t>
      </w:r>
      <w:r>
        <w:rPr>
          <w:rFonts w:hint="eastAsia" w:ascii="黑体" w:hAnsi="黑体" w:eastAsia="黑体" w:cs="黑体"/>
          <w:color w:val="000000"/>
          <w:spacing w:val="-2"/>
          <w:sz w:val="28"/>
          <w:szCs w:val="28"/>
          <w:highlight w:val="none"/>
          <w:shd w:val="clear" w:color="auto" w:fill="auto"/>
          <w:lang w:val="en-US" w:eastAsia="zh-CN"/>
        </w:rPr>
        <w:t>项目清单</w:t>
      </w:r>
      <w:r>
        <w:rPr>
          <w:rFonts w:hint="default" w:ascii="黑体" w:hAnsi="黑体" w:eastAsia="黑体" w:cs="黑体"/>
          <w:color w:val="000000"/>
          <w:spacing w:val="-2"/>
          <w:sz w:val="28"/>
          <w:szCs w:val="28"/>
          <w:highlight w:val="none"/>
          <w:shd w:val="clear" w:color="auto" w:fill="auto"/>
        </w:rPr>
        <w:t>（示例）</w:t>
      </w:r>
    </w:p>
    <w:tbl>
      <w:tblPr>
        <w:tblStyle w:val="5"/>
        <w:tblW w:w="9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784"/>
        <w:gridCol w:w="1474"/>
        <w:gridCol w:w="760"/>
        <w:gridCol w:w="1305"/>
        <w:gridCol w:w="795"/>
        <w:gridCol w:w="735"/>
        <w:gridCol w:w="764"/>
        <w:gridCol w:w="750"/>
        <w:gridCol w:w="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center"/>
          </w:tcPr>
          <w:p>
            <w:pPr>
              <w:pStyle w:val="2"/>
              <w:keepLine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年度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pStyle w:val="2"/>
              <w:keepLines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位置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Lines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项目名称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pStyle w:val="2"/>
              <w:keepLines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建设类型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pStyle w:val="2"/>
              <w:keepLines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承办企业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2"/>
              <w:keepLines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总投资额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2"/>
              <w:keepLines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奖补金额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2"/>
              <w:keepLines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建设内容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2"/>
              <w:keepLines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建设周期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pStyle w:val="2"/>
              <w:keepLines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实现</w:t>
            </w:r>
          </w:p>
          <w:p>
            <w:pPr>
              <w:pStyle w:val="2"/>
              <w:keepLines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vMerge w:val="restart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年</w:t>
            </w:r>
          </w:p>
        </w:tc>
        <w:tc>
          <w:tcPr>
            <w:tcW w:w="784" w:type="dxa"/>
            <w:vMerge w:val="restart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××市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××</w:t>
            </w:r>
            <w:r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农产品批发市场冷链设施升级改造</w:t>
            </w:r>
          </w:p>
        </w:tc>
        <w:tc>
          <w:tcPr>
            <w:tcW w:w="760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新建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××批发市场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764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eastAsia" w:ascii="宋体" w:hAnsi="宋体" w:eastAsia="宋体" w:cs="宋体"/>
                <w:bCs/>
                <w:color w:val="000000"/>
                <w:spacing w:val="-2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购置</w:t>
            </w:r>
            <w:r>
              <w:rPr>
                <w:rFonts w:hint="default" w:ascii="Arial" w:hAnsi="Arial" w:eastAsia="宋体" w:cs="Arial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××设施设备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2022.03-</w:t>
            </w:r>
          </w:p>
          <w:p>
            <w:pPr>
              <w:pStyle w:val="2"/>
              <w:keepLines w:val="0"/>
              <w:spacing w:line="360" w:lineRule="auto"/>
              <w:rPr>
                <w:rFonts w:hint="eastAsia" w:ascii="宋体" w:hAnsi="宋体" w:eastAsia="宋体" w:cs="宋体"/>
                <w:bCs/>
                <w:color w:val="000000"/>
                <w:spacing w:val="-2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2023.01</w:t>
            </w:r>
          </w:p>
        </w:tc>
        <w:tc>
          <w:tcPr>
            <w:tcW w:w="715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vMerge w:val="continue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jc w:val="both"/>
              <w:rPr>
                <w:rFonts w:hint="default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784" w:type="dxa"/>
            <w:vMerge w:val="continue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74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××销地低温配送中心</w:t>
            </w:r>
          </w:p>
        </w:tc>
        <w:tc>
          <w:tcPr>
            <w:tcW w:w="760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改造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××流通企业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764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更新</w:t>
            </w:r>
            <w:r>
              <w:rPr>
                <w:rFonts w:hint="default" w:ascii="Arial" w:hAnsi="Arial" w:eastAsia="宋体" w:cs="Arial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××设施设备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715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41" w:type="dxa"/>
            <w:vMerge w:val="continue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jc w:val="both"/>
              <w:rPr>
                <w:rFonts w:hint="default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784" w:type="dxa"/>
            <w:vMerge w:val="continue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74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××社区前置仓</w:t>
            </w:r>
          </w:p>
        </w:tc>
        <w:tc>
          <w:tcPr>
            <w:tcW w:w="760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新建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××电商平台企业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764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715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jc w:val="both"/>
              <w:rPr>
                <w:rFonts w:hint="default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2023年</w:t>
            </w:r>
          </w:p>
        </w:tc>
        <w:tc>
          <w:tcPr>
            <w:tcW w:w="784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  <w:t>.....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764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715" w:type="dxa"/>
            <w:noWrap w:val="0"/>
            <w:vAlign w:val="top"/>
          </w:tcPr>
          <w:p>
            <w:pPr>
              <w:pStyle w:val="2"/>
              <w:keepLines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</w:tr>
    </w:tbl>
    <w:p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注：各省根据细化支持事项，建立分年度储备项目库。其中，</w:t>
      </w:r>
      <w:r>
        <w:rPr>
          <w:rFonts w:hint="eastAsia" w:ascii="仿宋_GB2312" w:hAnsi="仿宋_GB2312" w:eastAsia="仿宋_GB2312" w:cs="仿宋_GB2312"/>
          <w:lang w:eastAsia="zh-CN"/>
        </w:rPr>
        <w:t>2022</w:t>
      </w:r>
      <w:r>
        <w:rPr>
          <w:rFonts w:hint="eastAsia"/>
          <w:lang w:eastAsia="zh-CN"/>
        </w:rPr>
        <w:t>年度项目清单应与省级工作方案一并报备。其他年度项目已明确的一并报备，未明确的可后续进行调整、完善。</w:t>
      </w:r>
    </w:p>
    <w:p>
      <w:pPr>
        <w:spacing w:line="360" w:lineRule="auto"/>
      </w:pPr>
    </w:p>
    <w:p>
      <w:pPr>
        <w:rPr>
          <w:rFonts w:hint="eastAsia" w:eastAsia="宋体"/>
          <w:lang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Noto Serif CJK JP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uosu SIL">
    <w:altName w:val="DejaVu Math TeX Gyre"/>
    <w:panose1 w:val="02000000000000000000"/>
    <w:charset w:val="00"/>
    <w:family w:val="auto"/>
    <w:pitch w:val="default"/>
    <w:sig w:usb0="00000000" w:usb1="00000000" w:usb2="00080010" w:usb3="00000000" w:csb0="0002000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B636D"/>
    <w:rsid w:val="6BEB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600" w:lineRule="exact"/>
      <w:outlineLvl w:val="1"/>
    </w:pPr>
    <w:rPr>
      <w:rFonts w:ascii="Calibri Light" w:hAnsi="Calibri Light" w:eastAsia="楷体" w:cs="Times New Roman"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2022-05-26T08:47:00Z</dcterms:created>
  <dc:creator>Admin</dc:creator>
  <cp:lastModifiedBy>Admin</cp:lastModifiedBy>
  <dcterms:modified xsi:type="dcterms:W3CDTF">2022-05-26T09:48:06Z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