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700" w:lineRule="exact"/>
        <w:jc w:val="center"/>
        <w:textAlignment w:val="auto"/>
        <w:rPr>
          <w:rFonts w:ascii="方正小标宋简体" w:hAnsi="方正小标宋简体" w:eastAsia="方正小标宋简体" w:cs="方正小标宋简体"/>
          <w:b w:val="0"/>
          <w:color w:val="333333"/>
          <w:sz w:val="44"/>
          <w:szCs w:val="44"/>
          <w:shd w:val="clear" w:color="auto" w:fill="FFFFFF"/>
        </w:rPr>
      </w:pPr>
      <w:r>
        <w:rPr>
          <w:rFonts w:ascii="方正小标宋简体" w:hAnsi="方正小标宋简体" w:eastAsia="方正小标宋简体" w:cs="方正小标宋简体"/>
          <w:b w:val="0"/>
          <w:color w:val="333333"/>
          <w:sz w:val="44"/>
          <w:szCs w:val="44"/>
          <w:shd w:val="clear" w:color="auto" w:fill="FFFFFF"/>
        </w:rPr>
        <w:t>伊春市获得省级“专精特新”</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700" w:lineRule="exact"/>
        <w:jc w:val="center"/>
        <w:textAlignment w:val="auto"/>
        <w:rPr>
          <w:rFonts w:hint="default" w:ascii="方正小标宋简体" w:hAnsi="方正小标宋简体" w:eastAsia="方正小标宋简体" w:cs="方正小标宋简体"/>
          <w:b w:val="0"/>
          <w:color w:val="333333"/>
          <w:sz w:val="44"/>
          <w:szCs w:val="44"/>
        </w:rPr>
      </w:pPr>
      <w:r>
        <w:rPr>
          <w:rFonts w:ascii="方正小标宋简体" w:hAnsi="方正小标宋简体" w:eastAsia="方正小标宋简体" w:cs="方正小标宋简体"/>
          <w:b w:val="0"/>
          <w:color w:val="333333"/>
          <w:sz w:val="44"/>
          <w:szCs w:val="44"/>
          <w:shd w:val="clear" w:color="auto" w:fill="FFFFFF"/>
        </w:rPr>
        <w:t>中小企业奖励实施细则</w:t>
      </w:r>
    </w:p>
    <w:p>
      <w:pPr>
        <w:pStyle w:val="16"/>
        <w:keepNext w:val="0"/>
        <w:keepLines w:val="0"/>
        <w:pageBreakBefore w:val="0"/>
        <w:widowControl/>
        <w:kinsoku/>
        <w:wordWrap/>
        <w:overflowPunct/>
        <w:topLinePunct w:val="0"/>
        <w:autoSpaceDE/>
        <w:autoSpaceDN/>
        <w:bidi w:val="0"/>
        <w:adjustRightInd/>
        <w:snapToGrid w:val="0"/>
        <w:spacing w:line="70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（征求意见稿）</w:t>
      </w:r>
    </w:p>
    <w:p>
      <w:pPr>
        <w:pStyle w:val="16"/>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Times New Roman"/>
          <w:sz w:val="32"/>
          <w:szCs w:val="32"/>
          <w:lang w:eastAsia="zh-CN"/>
        </w:rPr>
      </w:pPr>
    </w:p>
    <w:p>
      <w:pPr>
        <w:pStyle w:val="16"/>
        <w:keepNext w:val="0"/>
        <w:keepLines w:val="0"/>
        <w:pageBreakBefore w:val="0"/>
        <w:widowControl/>
        <w:kinsoku/>
        <w:overflowPunct/>
        <w:topLinePunct w:val="0"/>
        <w:autoSpaceDE/>
        <w:autoSpaceDN/>
        <w:bidi w:val="0"/>
        <w:adjustRightInd/>
        <w:snapToGrid w:val="0"/>
        <w:spacing w:line="560" w:lineRule="exact"/>
        <w:ind w:firstLine="580"/>
        <w:textAlignment w:val="auto"/>
        <w:rPr>
          <w:rFonts w:ascii="黑体" w:hAnsi="黑体" w:eastAsia="黑体" w:cs="黑体"/>
          <w:bCs/>
          <w:sz w:val="32"/>
          <w:szCs w:val="32"/>
        </w:rPr>
      </w:pPr>
      <w:r>
        <w:rPr>
          <w:rFonts w:hint="eastAsia" w:ascii="黑体" w:hAnsi="黑体" w:eastAsia="黑体" w:cs="黑体"/>
          <w:bCs/>
          <w:sz w:val="32"/>
          <w:szCs w:val="32"/>
        </w:rPr>
        <w:t>一、奖励标准</w:t>
      </w:r>
    </w:p>
    <w:p>
      <w:pPr>
        <w:pStyle w:val="16"/>
        <w:keepNext w:val="0"/>
        <w:keepLines w:val="0"/>
        <w:pageBreakBefore w:val="0"/>
        <w:widowControl/>
        <w:kinsoku/>
        <w:overflowPunct/>
        <w:topLinePunct w:val="0"/>
        <w:autoSpaceDE/>
        <w:autoSpaceDN/>
        <w:bidi w:val="0"/>
        <w:adjustRightInd/>
        <w:snapToGrid w:val="0"/>
        <w:spacing w:line="560" w:lineRule="exact"/>
        <w:ind w:firstLine="58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认定为</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级</w:t>
      </w:r>
      <w:r>
        <w:rPr>
          <w:rFonts w:hint="eastAsia" w:ascii="仿宋_GB2312" w:hAnsi="仿宋_GB2312" w:eastAsia="仿宋_GB2312" w:cs="仿宋_GB2312"/>
          <w:sz w:val="32"/>
          <w:szCs w:val="32"/>
        </w:rPr>
        <w:t>“专精特新”中小企业，给予一次性奖励2万元。</w:t>
      </w:r>
      <w:r>
        <w:rPr>
          <w:rFonts w:hint="eastAsia" w:ascii="仿宋_GB2312" w:hAnsi="仿宋_GB2312" w:eastAsia="仿宋_GB2312" w:cs="仿宋_GB2312"/>
          <w:color w:val="000000"/>
          <w:kern w:val="0"/>
          <w:sz w:val="32"/>
          <w:szCs w:val="32"/>
        </w:rPr>
        <w:t>对通过复核认定的</w:t>
      </w:r>
      <w:r>
        <w:rPr>
          <w:rFonts w:hint="eastAsia" w:ascii="仿宋_GB2312" w:hAnsi="仿宋_GB2312" w:eastAsia="仿宋_GB2312" w:cs="仿宋_GB2312"/>
          <w:sz w:val="32"/>
          <w:szCs w:val="32"/>
        </w:rPr>
        <w:t>省级“专精特新”中小企业</w:t>
      </w:r>
      <w:r>
        <w:rPr>
          <w:rFonts w:hint="eastAsia" w:ascii="仿宋_GB2312" w:hAnsi="仿宋_GB2312" w:eastAsia="仿宋_GB2312" w:cs="仿宋_GB2312"/>
          <w:color w:val="000000"/>
          <w:kern w:val="0"/>
          <w:sz w:val="32"/>
          <w:szCs w:val="32"/>
        </w:rPr>
        <w:t>，给予一次性1万元奖励。</w:t>
      </w:r>
    </w:p>
    <w:p>
      <w:pPr>
        <w:keepNext w:val="0"/>
        <w:keepLines w:val="0"/>
        <w:pageBreakBefore w:val="0"/>
        <w:kinsoku/>
        <w:wordWrap w:val="0"/>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rPr>
      </w:pPr>
      <w:r>
        <w:rPr>
          <w:rFonts w:hint="eastAsia" w:ascii="黑体" w:hAnsi="黑体" w:eastAsia="黑体" w:cs="黑体"/>
          <w:sz w:val="32"/>
        </w:rPr>
        <w:t>二、申报条件</w:t>
      </w:r>
    </w:p>
    <w:p>
      <w:pPr>
        <w:keepNext w:val="0"/>
        <w:keepLines w:val="0"/>
        <w:pageBreakBefore w:val="0"/>
        <w:kinsoku/>
        <w:wordWrap w:val="0"/>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（一）具有独立法人资格</w:t>
      </w:r>
      <w:r>
        <w:rPr>
          <w:rFonts w:hint="eastAsia" w:ascii="Times New Roman" w:hAnsi="Times New Roman" w:eastAsia="仿宋_GB2312"/>
          <w:sz w:val="32"/>
        </w:rPr>
        <w:t>。</w:t>
      </w:r>
    </w:p>
    <w:p>
      <w:pPr>
        <w:keepNext w:val="0"/>
        <w:keepLines w:val="0"/>
        <w:pageBreakBefore w:val="0"/>
        <w:kinsoku/>
        <w:wordWrap w:val="0"/>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（二）主体、主营业务及纳税均在</w:t>
      </w:r>
      <w:r>
        <w:rPr>
          <w:rFonts w:hint="eastAsia" w:ascii="Times New Roman" w:hAnsi="Times New Roman" w:eastAsia="仿宋_GB2312"/>
          <w:sz w:val="32"/>
        </w:rPr>
        <w:t>伊春市。</w:t>
      </w:r>
    </w:p>
    <w:p>
      <w:pPr>
        <w:keepNext w:val="0"/>
        <w:keepLines w:val="0"/>
        <w:pageBreakBefore w:val="0"/>
        <w:kinsoku/>
        <w:wordWrap w:val="0"/>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（三）</w:t>
      </w:r>
      <w:r>
        <w:rPr>
          <w:rFonts w:hint="eastAsia" w:ascii="仿宋_GB2312" w:hAnsi="仿宋_GB2312" w:eastAsia="仿宋_GB2312" w:cs="仿宋_GB2312"/>
          <w:b w:val="0"/>
          <w:bCs w:val="0"/>
          <w:color w:val="000000"/>
          <w:sz w:val="32"/>
          <w:szCs w:val="32"/>
          <w:lang w:eastAsia="zh-CN"/>
        </w:rPr>
        <w:t>企业无失信行为（通过信用中国、国家企业信用信息公示系统等途径查询无不良记录）</w:t>
      </w:r>
      <w:r>
        <w:rPr>
          <w:rFonts w:hint="eastAsia" w:ascii="仿宋_GB2312" w:hAnsi="仿宋_GB2312" w:eastAsia="仿宋_GB2312" w:cs="仿宋_GB2312"/>
          <w:b w:val="0"/>
          <w:bCs w:val="0"/>
          <w:color w:val="000000"/>
          <w:sz w:val="32"/>
          <w:szCs w:val="32"/>
        </w:rPr>
        <w:t>。</w:t>
      </w:r>
    </w:p>
    <w:p>
      <w:pPr>
        <w:pStyle w:val="16"/>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lang w:eastAsia="zh-CN"/>
        </w:rPr>
      </w:pPr>
      <w:bookmarkStart w:id="0" w:name="_GoBack"/>
      <w:r>
        <w:rPr>
          <w:rFonts w:hint="eastAsia" w:ascii="Times New Roman" w:hAnsi="Times New Roman" w:eastAsia="仿宋_GB2312" w:cstheme="minorBidi"/>
          <w:kern w:val="2"/>
          <w:sz w:val="32"/>
          <w:szCs w:val="24"/>
          <w:lang w:val="en-US" w:eastAsia="zh-CN" w:bidi="ar-SA"/>
        </w:rPr>
        <w:t>（四）新认定为省级“专精特新”中小企业奖励，每户企业只能享受一次，通过复核认定的省级“专精特新”中小企业，每通过复核认定一次享受一次</w:t>
      </w:r>
      <w:r>
        <w:rPr>
          <w:rFonts w:hint="eastAsia" w:ascii="Times New Roman" w:hAnsi="Times New Roman" w:eastAsia="仿宋_GB2312" w:cstheme="minorBidi"/>
          <w:kern w:val="2"/>
          <w:sz w:val="32"/>
          <w:szCs w:val="24"/>
          <w:lang w:val="en-US" w:eastAsia="zh-CN" w:bidi="ar-SA"/>
        </w:rPr>
        <w:t>奖励</w:t>
      </w:r>
      <w:r>
        <w:rPr>
          <w:rFonts w:hint="eastAsia" w:ascii="Times New Roman" w:hAnsi="Times New Roman" w:eastAsia="仿宋_GB2312" w:cstheme="minorBidi"/>
          <w:kern w:val="2"/>
          <w:sz w:val="32"/>
          <w:szCs w:val="24"/>
          <w:lang w:val="en-US" w:eastAsia="zh-CN" w:bidi="ar-SA"/>
        </w:rPr>
        <w:t>。</w:t>
      </w:r>
    </w:p>
    <w:bookmarkEnd w:id="0"/>
    <w:p>
      <w:pPr>
        <w:pStyle w:val="16"/>
        <w:keepNext w:val="0"/>
        <w:keepLines w:val="0"/>
        <w:pageBreakBefore w:val="0"/>
        <w:widowControl/>
        <w:kinsoku/>
        <w:overflowPunct/>
        <w:topLinePunct w:val="0"/>
        <w:autoSpaceDE/>
        <w:autoSpaceDN/>
        <w:bidi w:val="0"/>
        <w:adjustRightInd/>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三、申报和审核程序</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（一）此项政策为“免申即享”。</w:t>
      </w:r>
    </w:p>
    <w:p>
      <w:pPr>
        <w:pStyle w:val="5"/>
        <w:keepNext w:val="0"/>
        <w:keepLines w:val="0"/>
        <w:pageBreakBefore w:val="0"/>
        <w:kinsoku/>
        <w:overflowPunct/>
        <w:topLinePunct w:val="0"/>
        <w:autoSpaceDE/>
        <w:autoSpaceDN/>
        <w:bidi w:val="0"/>
        <w:adjustRightInd/>
        <w:spacing w:after="0" w:line="560" w:lineRule="exact"/>
        <w:ind w:firstLine="640" w:firstLineChars="200"/>
        <w:textAlignment w:val="auto"/>
        <w:rPr>
          <w:rFonts w:ascii="黑体" w:hAnsi="黑体" w:eastAsia="黑体" w:cs="黑体"/>
          <w:sz w:val="32"/>
          <w:szCs w:val="32"/>
        </w:rPr>
      </w:pPr>
      <w:r>
        <w:rPr>
          <w:rFonts w:hint="eastAsia" w:ascii="仿宋_GB2312" w:hAnsi="Times New Roman" w:eastAsia="仿宋_GB2312"/>
          <w:kern w:val="0"/>
          <w:sz w:val="32"/>
          <w:szCs w:val="32"/>
        </w:rPr>
        <w:t>（二）</w:t>
      </w:r>
      <w:r>
        <w:rPr>
          <w:rFonts w:hint="eastAsia" w:ascii="仿宋_GB2312" w:hAnsi="仿宋_GB2312" w:eastAsia="仿宋_GB2312" w:cs="仿宋_GB2312"/>
          <w:sz w:val="32"/>
          <w:szCs w:val="32"/>
        </w:rPr>
        <w:t>各县（市）、区工信、财政主管部门对符合条件的企业进行考察核实后，联合行文推荐报送市工信局、市财政局。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（一）本细则由市工信局、市财政局负责解释。</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kern w:val="21"/>
          <w:sz w:val="32"/>
          <w:szCs w:val="32"/>
        </w:rPr>
      </w:pPr>
      <w:r>
        <w:rPr>
          <w:rFonts w:hint="eastAsia" w:ascii="仿宋_GB2312" w:hAnsi="仿宋_GB2312" w:eastAsia="仿宋_GB2312" w:cs="仿宋_GB2312"/>
          <w:color w:val="000000"/>
          <w:sz w:val="32"/>
          <w:szCs w:val="32"/>
          <w:lang w:eastAsia="zh-CN"/>
        </w:rPr>
        <w:t>（二）本细则自发布之日起实施。期间如有变化，将按规定做出调整。</w:t>
      </w:r>
    </w:p>
    <w:p>
      <w:pPr>
        <w:pStyle w:val="16"/>
        <w:keepNext w:val="0"/>
        <w:keepLines w:val="0"/>
        <w:pageBreakBefore w:val="0"/>
        <w:widowControl/>
        <w:kinsoku/>
        <w:overflowPunct/>
        <w:topLinePunct w:val="0"/>
        <w:autoSpaceDE/>
        <w:autoSpaceDN/>
        <w:bidi w:val="0"/>
        <w:adjustRightInd/>
        <w:spacing w:line="560" w:lineRule="exact"/>
        <w:ind w:firstLine="700"/>
        <w:textAlignment w:val="auto"/>
        <w:rPr>
          <w:rFonts w:ascii="仿宋_GB2312" w:hAnsi="仿宋" w:eastAsia="仿宋_GB2312" w:cs="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联系</w:t>
      </w:r>
      <w:r>
        <w:rPr>
          <w:rFonts w:hint="eastAsia" w:ascii="黑体" w:hAnsi="黑体" w:eastAsia="黑体" w:cs="黑体"/>
          <w:sz w:val="32"/>
          <w:szCs w:val="32"/>
        </w:rPr>
        <w:t>方式</w:t>
      </w:r>
    </w:p>
    <w:p>
      <w:pPr>
        <w:pStyle w:val="16"/>
        <w:keepNext w:val="0"/>
        <w:keepLines w:val="0"/>
        <w:pageBreakBefore w:val="0"/>
        <w:widowControl/>
        <w:kinsoku/>
        <w:overflowPunct/>
        <w:topLinePunct w:val="0"/>
        <w:autoSpaceDE/>
        <w:autoSpaceDN/>
        <w:bidi w:val="0"/>
        <w:adjustRightInd/>
        <w:spacing w:line="560" w:lineRule="exact"/>
        <w:ind w:firstLine="700"/>
        <w:textAlignment w:val="auto"/>
      </w:pPr>
      <w:r>
        <w:rPr>
          <w:rFonts w:hint="eastAsia" w:ascii="仿宋_GB2312" w:hAnsi="仿宋" w:eastAsia="仿宋_GB2312" w:cs="仿宋"/>
          <w:sz w:val="32"/>
          <w:szCs w:val="32"/>
        </w:rPr>
        <w:t>市工信局中小企业科，0458-3878</w:t>
      </w:r>
      <w:r>
        <w:rPr>
          <w:rFonts w:hint="eastAsia" w:ascii="仿宋_GB2312" w:hAnsi="仿宋" w:eastAsia="仿宋_GB2312" w:cs="仿宋"/>
          <w:sz w:val="32"/>
          <w:szCs w:val="32"/>
          <w:lang w:val="en-US" w:eastAsia="zh-CN"/>
        </w:rPr>
        <w:t>602</w:t>
      </w:r>
      <w:r>
        <w:rPr>
          <w:rFonts w:hint="eastAsia" w:ascii="仿宋_GB2312" w:hAnsi="仿宋" w:eastAsia="仿宋_GB2312" w:cs="仿宋"/>
          <w:sz w:val="32"/>
          <w:szCs w:val="32"/>
        </w:rPr>
        <w:t>。</w:t>
      </w:r>
    </w:p>
    <w:sectPr>
      <w:pgSz w:w="11906" w:h="16838"/>
      <w:pgMar w:top="2098" w:right="1474" w:bottom="11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仿宋_GB2312"/>
    <w:panose1 w:val="00000000000000000000"/>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Noto Sans CJK SC"/>
    <w:panose1 w:val="02010609060101010101"/>
    <w:charset w:val="00"/>
    <w:family w:val="modern"/>
    <w:pitch w:val="default"/>
    <w:sig w:usb0="00000000" w:usb1="00000000" w:usb2="00000016" w:usb3="00000000" w:csb0="00040001"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FE88A"/>
    <w:rsid w:val="299F1F9E"/>
    <w:rsid w:val="4FE0519F"/>
    <w:rsid w:val="58BFCE45"/>
    <w:rsid w:val="5A1B4CCD"/>
    <w:rsid w:val="5DFE400F"/>
    <w:rsid w:val="5EBB1F26"/>
    <w:rsid w:val="5F7B3B4D"/>
    <w:rsid w:val="5F7DD45F"/>
    <w:rsid w:val="5FC39274"/>
    <w:rsid w:val="67ED3F84"/>
    <w:rsid w:val="6BE76472"/>
    <w:rsid w:val="6BEE810B"/>
    <w:rsid w:val="6DE3440C"/>
    <w:rsid w:val="6F9F3662"/>
    <w:rsid w:val="7B6F3497"/>
    <w:rsid w:val="7FBE77EB"/>
    <w:rsid w:val="7FE7D52C"/>
    <w:rsid w:val="7FFC1822"/>
    <w:rsid w:val="7FFF512E"/>
    <w:rsid w:val="9BEF80C6"/>
    <w:rsid w:val="9FBFD4B2"/>
    <w:rsid w:val="A5FFC4C0"/>
    <w:rsid w:val="B7FFB540"/>
    <w:rsid w:val="BBB9430D"/>
    <w:rsid w:val="DEEFB14F"/>
    <w:rsid w:val="DFF5DED0"/>
    <w:rsid w:val="DFF68EAF"/>
    <w:rsid w:val="E3BC102B"/>
    <w:rsid w:val="E7EB9B33"/>
    <w:rsid w:val="EB3F55FF"/>
    <w:rsid w:val="EFFEF663"/>
    <w:rsid w:val="F681BB79"/>
    <w:rsid w:val="F771AF75"/>
    <w:rsid w:val="FABF2EA4"/>
    <w:rsid w:val="FAFF736C"/>
    <w:rsid w:val="FDFBE2DC"/>
    <w:rsid w:val="FDFFDABC"/>
    <w:rsid w:val="FF8D9745"/>
    <w:rsid w:val="FFBD0934"/>
    <w:rsid w:val="FFFBA5C8"/>
    <w:rsid w:val="FFFF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0"/>
    </w:rPr>
  </w:style>
  <w:style w:type="paragraph" w:styleId="9">
    <w:name w:val="Title"/>
    <w:basedOn w:val="1"/>
    <w:next w:val="1"/>
    <w:qFormat/>
    <w:uiPriority w:val="10"/>
    <w:pPr>
      <w:contextualSpacing/>
    </w:pPr>
    <w:rPr>
      <w:rFonts w:ascii="Cambria" w:hAnsi="Cambria" w:eastAsia="宋体" w:cs="Times New Roman"/>
      <w:spacing w:val="-10"/>
      <w:kern w:val="28"/>
      <w:sz w:val="56"/>
      <w:szCs w:val="5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1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font41"/>
    <w:basedOn w:val="12"/>
    <w:qFormat/>
    <w:uiPriority w:val="0"/>
    <w:rPr>
      <w:rFonts w:hint="eastAsia" w:ascii="宋体" w:hAnsi="宋体" w:eastAsia="宋体" w:cs="宋体"/>
      <w:color w:val="000000"/>
      <w:sz w:val="32"/>
      <w:szCs w:val="32"/>
      <w:u w:val="none"/>
    </w:rPr>
  </w:style>
  <w:style w:type="paragraph" w:customStyle="1" w:styleId="16">
    <w:name w:val="普通(网站)1"/>
    <w:basedOn w:val="1"/>
    <w:qFormat/>
    <w:uiPriority w:val="0"/>
    <w:rPr>
      <w:sz w:val="24"/>
    </w:rPr>
  </w:style>
  <w:style w:type="paragraph" w:customStyle="1" w:styleId="17">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2023-12-02T23:01:00Z</dcterms:created>
  <dc:creator>uos</dc:creator>
  <cp:lastModifiedBy>uos</cp:lastModifiedBy>
  <cp:lastPrinted>2025-02-06T14:46:23Z</cp:lastPrinted>
  <dcterms:modified xsi:type="dcterms:W3CDTF">2025-02-06T15:23:49Z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